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D62" w:rsidRPr="00791B66" w:rsidRDefault="00071D62" w:rsidP="00772E9C">
      <w:pPr>
        <w:jc w:val="left"/>
        <w:rPr>
          <w:rFonts w:ascii="Arial" w:hAnsi="Arial" w:cs="Arial"/>
          <w:b/>
          <w:bCs/>
          <w:sz w:val="24"/>
          <w:szCs w:val="24"/>
        </w:rPr>
      </w:pPr>
    </w:p>
    <w:p w:rsidR="00071D62" w:rsidRPr="00791B66" w:rsidRDefault="00071D62" w:rsidP="0056127A">
      <w:pPr>
        <w:jc w:val="center"/>
        <w:rPr>
          <w:rFonts w:ascii="Arial" w:hAnsi="Arial" w:cs="Arial"/>
          <w:b/>
          <w:bCs/>
          <w:sz w:val="24"/>
          <w:szCs w:val="24"/>
        </w:rPr>
      </w:pPr>
      <w:r w:rsidRPr="00791B66">
        <w:rPr>
          <w:rFonts w:ascii="Arial" w:hAnsi="Arial" w:cs="Arial"/>
          <w:b/>
          <w:bCs/>
          <w:sz w:val="24"/>
          <w:szCs w:val="24"/>
        </w:rPr>
        <w:t xml:space="preserve">Thursday </w:t>
      </w:r>
      <w:r>
        <w:rPr>
          <w:rFonts w:ascii="Arial" w:hAnsi="Arial" w:cs="Arial"/>
          <w:b/>
          <w:bCs/>
          <w:sz w:val="24"/>
          <w:szCs w:val="24"/>
        </w:rPr>
        <w:t xml:space="preserve">15 September </w:t>
      </w:r>
      <w:r w:rsidRPr="00791B66">
        <w:rPr>
          <w:rFonts w:ascii="Arial" w:hAnsi="Arial" w:cs="Arial"/>
          <w:b/>
          <w:bCs/>
          <w:sz w:val="24"/>
          <w:szCs w:val="24"/>
        </w:rPr>
        <w:t>20</w:t>
      </w:r>
      <w:r>
        <w:rPr>
          <w:rFonts w:ascii="Arial" w:hAnsi="Arial" w:cs="Arial"/>
          <w:b/>
          <w:bCs/>
          <w:sz w:val="24"/>
          <w:szCs w:val="24"/>
        </w:rPr>
        <w:t>11</w:t>
      </w:r>
    </w:p>
    <w:p w:rsidR="00071D62" w:rsidRPr="00791B66" w:rsidRDefault="00071D62" w:rsidP="00772E9C">
      <w:pPr>
        <w:jc w:val="left"/>
        <w:rPr>
          <w:rFonts w:ascii="Arial" w:hAnsi="Arial" w:cs="Arial"/>
          <w:b/>
          <w:bCs/>
          <w:sz w:val="24"/>
          <w:szCs w:val="24"/>
        </w:rPr>
      </w:pPr>
    </w:p>
    <w:p w:rsidR="00071D62" w:rsidRDefault="00071D62" w:rsidP="0056127A">
      <w:pPr>
        <w:jc w:val="center"/>
        <w:rPr>
          <w:rFonts w:ascii="Arial" w:hAnsi="Arial" w:cs="Arial"/>
          <w:b/>
          <w:bCs/>
          <w:sz w:val="24"/>
          <w:szCs w:val="24"/>
        </w:rPr>
      </w:pPr>
      <w:r>
        <w:rPr>
          <w:rFonts w:ascii="Arial" w:hAnsi="Arial" w:cs="Arial"/>
          <w:b/>
          <w:bCs/>
          <w:sz w:val="24"/>
          <w:szCs w:val="24"/>
        </w:rPr>
        <w:t xml:space="preserve">Kingfisher half year sales up 3.8%, </w:t>
      </w:r>
      <w:r w:rsidRPr="00791B66">
        <w:rPr>
          <w:rFonts w:ascii="Arial" w:hAnsi="Arial" w:cs="Arial"/>
          <w:b/>
          <w:bCs/>
          <w:sz w:val="24"/>
          <w:szCs w:val="24"/>
        </w:rPr>
        <w:t>adjusted pre-tax profits up 2</w:t>
      </w:r>
      <w:r>
        <w:rPr>
          <w:rFonts w:ascii="Arial" w:hAnsi="Arial" w:cs="Arial"/>
          <w:b/>
          <w:bCs/>
          <w:sz w:val="24"/>
          <w:szCs w:val="24"/>
        </w:rPr>
        <w:t>4</w:t>
      </w:r>
      <w:r w:rsidRPr="00791B66">
        <w:rPr>
          <w:rFonts w:ascii="Arial" w:hAnsi="Arial" w:cs="Arial"/>
          <w:b/>
          <w:bCs/>
          <w:sz w:val="24"/>
          <w:szCs w:val="24"/>
        </w:rPr>
        <w:t>% to</w:t>
      </w:r>
      <w:r>
        <w:rPr>
          <w:rFonts w:ascii="Arial" w:hAnsi="Arial" w:cs="Arial"/>
          <w:b/>
          <w:bCs/>
          <w:sz w:val="24"/>
          <w:szCs w:val="24"/>
        </w:rPr>
        <w:t xml:space="preserve"> £439</w:t>
      </w:r>
      <w:r w:rsidRPr="00791B66">
        <w:rPr>
          <w:rFonts w:ascii="Arial" w:hAnsi="Arial" w:cs="Arial"/>
          <w:b/>
          <w:bCs/>
          <w:sz w:val="24"/>
          <w:szCs w:val="24"/>
        </w:rPr>
        <w:t xml:space="preserve"> million</w:t>
      </w:r>
    </w:p>
    <w:p w:rsidR="00071D62" w:rsidRPr="00791B66" w:rsidRDefault="00071D62" w:rsidP="00C221FE">
      <w:pPr>
        <w:jc w:val="left"/>
        <w:rPr>
          <w:rFonts w:ascii="Arial" w:hAnsi="Arial" w:cs="Arial"/>
          <w:b/>
          <w:bCs/>
          <w:color w:val="FF0000"/>
          <w:sz w:val="24"/>
          <w:szCs w:val="24"/>
        </w:rPr>
      </w:pPr>
    </w:p>
    <w:tbl>
      <w:tblPr>
        <w:tblW w:w="5022" w:type="pct"/>
        <w:tblInd w:w="-106" w:type="dxa"/>
        <w:tblLayout w:type="fixed"/>
        <w:tblLook w:val="01E0"/>
      </w:tblPr>
      <w:tblGrid>
        <w:gridCol w:w="2705"/>
        <w:gridCol w:w="1554"/>
        <w:gridCol w:w="1558"/>
        <w:gridCol w:w="1523"/>
        <w:gridCol w:w="1416"/>
        <w:gridCol w:w="1144"/>
      </w:tblGrid>
      <w:tr w:rsidR="00071D62" w:rsidRPr="00791B66">
        <w:trPr>
          <w:trHeight w:val="864"/>
        </w:trPr>
        <w:tc>
          <w:tcPr>
            <w:tcW w:w="1366" w:type="pct"/>
            <w:tcBorders>
              <w:bottom w:val="single" w:sz="4" w:space="0" w:color="auto"/>
            </w:tcBorders>
          </w:tcPr>
          <w:p w:rsidR="00071D62" w:rsidRPr="00791B66" w:rsidRDefault="00071D62" w:rsidP="00701EEA">
            <w:pPr>
              <w:jc w:val="left"/>
              <w:rPr>
                <w:rFonts w:ascii="Arial" w:hAnsi="Arial" w:cs="Arial"/>
                <w:b/>
                <w:bCs/>
                <w:sz w:val="24"/>
                <w:szCs w:val="24"/>
                <w:u w:val="single"/>
              </w:rPr>
            </w:pPr>
            <w:r w:rsidRPr="00791B66">
              <w:rPr>
                <w:rFonts w:ascii="Arial" w:hAnsi="Arial" w:cs="Arial"/>
                <w:b/>
                <w:bCs/>
                <w:sz w:val="24"/>
                <w:szCs w:val="24"/>
                <w:u w:val="single"/>
              </w:rPr>
              <w:t>Group Financial Summary</w:t>
            </w:r>
          </w:p>
          <w:p w:rsidR="00071D62" w:rsidRPr="00472924" w:rsidRDefault="00071D62" w:rsidP="00701EEA">
            <w:pPr>
              <w:jc w:val="left"/>
              <w:rPr>
                <w:rFonts w:ascii="Arial" w:hAnsi="Arial" w:cs="Arial"/>
                <w:b/>
                <w:bCs/>
                <w:color w:val="FF0000"/>
                <w:sz w:val="20"/>
                <w:szCs w:val="20"/>
              </w:rPr>
            </w:pPr>
            <w:r w:rsidRPr="003152E6">
              <w:rPr>
                <w:rFonts w:ascii="Arial" w:hAnsi="Arial" w:cs="Arial"/>
                <w:b/>
                <w:bCs/>
                <w:sz w:val="20"/>
                <w:szCs w:val="20"/>
              </w:rPr>
              <w:t>26 weeks ended 30 July 2011</w:t>
            </w:r>
          </w:p>
        </w:tc>
        <w:tc>
          <w:tcPr>
            <w:tcW w:w="785" w:type="pct"/>
            <w:tcBorders>
              <w:bottom w:val="single" w:sz="4" w:space="0" w:color="auto"/>
            </w:tcBorders>
          </w:tcPr>
          <w:p w:rsidR="00071D62" w:rsidRPr="00791B66" w:rsidRDefault="00071D62" w:rsidP="00701EEA">
            <w:pPr>
              <w:jc w:val="right"/>
              <w:rPr>
                <w:rFonts w:ascii="Arial" w:hAnsi="Arial" w:cs="Arial"/>
                <w:b/>
                <w:bCs/>
                <w:sz w:val="24"/>
                <w:szCs w:val="24"/>
              </w:rPr>
            </w:pPr>
            <w:r w:rsidRPr="00791B66">
              <w:rPr>
                <w:rFonts w:ascii="Arial" w:hAnsi="Arial" w:cs="Arial"/>
                <w:b/>
                <w:bCs/>
                <w:sz w:val="24"/>
                <w:szCs w:val="24"/>
              </w:rPr>
              <w:t>201</w:t>
            </w:r>
            <w:r>
              <w:rPr>
                <w:rFonts w:ascii="Arial" w:hAnsi="Arial" w:cs="Arial"/>
                <w:b/>
                <w:bCs/>
                <w:sz w:val="24"/>
                <w:szCs w:val="24"/>
              </w:rPr>
              <w:t>1</w:t>
            </w:r>
            <w:r w:rsidRPr="00791B66">
              <w:rPr>
                <w:rFonts w:ascii="Arial" w:hAnsi="Arial" w:cs="Arial"/>
                <w:b/>
                <w:bCs/>
                <w:sz w:val="24"/>
                <w:szCs w:val="24"/>
              </w:rPr>
              <w:t>/1</w:t>
            </w:r>
            <w:r>
              <w:rPr>
                <w:rFonts w:ascii="Arial" w:hAnsi="Arial" w:cs="Arial"/>
                <w:b/>
                <w:bCs/>
                <w:sz w:val="24"/>
                <w:szCs w:val="24"/>
              </w:rPr>
              <w:t>2</w:t>
            </w:r>
          </w:p>
          <w:p w:rsidR="00071D62" w:rsidRPr="00791B66" w:rsidRDefault="00071D62" w:rsidP="00701EEA">
            <w:pPr>
              <w:jc w:val="right"/>
              <w:rPr>
                <w:rFonts w:ascii="Arial" w:hAnsi="Arial" w:cs="Arial"/>
                <w:b/>
                <w:bCs/>
                <w:sz w:val="24"/>
                <w:szCs w:val="24"/>
              </w:rPr>
            </w:pPr>
          </w:p>
        </w:tc>
        <w:tc>
          <w:tcPr>
            <w:tcW w:w="787" w:type="pct"/>
            <w:tcBorders>
              <w:bottom w:val="single" w:sz="4" w:space="0" w:color="auto"/>
            </w:tcBorders>
          </w:tcPr>
          <w:p w:rsidR="00071D62" w:rsidRPr="00791B66" w:rsidRDefault="00071D62" w:rsidP="00701EEA">
            <w:pPr>
              <w:jc w:val="right"/>
              <w:rPr>
                <w:rFonts w:ascii="Arial" w:hAnsi="Arial" w:cs="Arial"/>
                <w:b/>
                <w:bCs/>
                <w:sz w:val="24"/>
                <w:szCs w:val="24"/>
              </w:rPr>
            </w:pPr>
            <w:r w:rsidRPr="00791B66">
              <w:rPr>
                <w:rFonts w:ascii="Arial" w:hAnsi="Arial" w:cs="Arial"/>
                <w:b/>
                <w:bCs/>
                <w:sz w:val="24"/>
                <w:szCs w:val="24"/>
              </w:rPr>
              <w:t>20</w:t>
            </w:r>
            <w:r>
              <w:rPr>
                <w:rFonts w:ascii="Arial" w:hAnsi="Arial" w:cs="Arial"/>
                <w:b/>
                <w:bCs/>
                <w:sz w:val="24"/>
                <w:szCs w:val="24"/>
              </w:rPr>
              <w:t>10</w:t>
            </w:r>
            <w:r w:rsidRPr="00791B66">
              <w:rPr>
                <w:rFonts w:ascii="Arial" w:hAnsi="Arial" w:cs="Arial"/>
                <w:b/>
                <w:bCs/>
                <w:sz w:val="24"/>
                <w:szCs w:val="24"/>
              </w:rPr>
              <w:t>/1</w:t>
            </w:r>
            <w:r>
              <w:rPr>
                <w:rFonts w:ascii="Arial" w:hAnsi="Arial" w:cs="Arial"/>
                <w:b/>
                <w:bCs/>
                <w:sz w:val="24"/>
                <w:szCs w:val="24"/>
              </w:rPr>
              <w:t>1</w:t>
            </w:r>
          </w:p>
        </w:tc>
        <w:tc>
          <w:tcPr>
            <w:tcW w:w="769" w:type="pct"/>
            <w:tcBorders>
              <w:bottom w:val="single" w:sz="4" w:space="0" w:color="auto"/>
            </w:tcBorders>
          </w:tcPr>
          <w:p w:rsidR="00071D62" w:rsidRDefault="00071D62" w:rsidP="00691388">
            <w:pPr>
              <w:jc w:val="right"/>
              <w:rPr>
                <w:rFonts w:ascii="Arial" w:hAnsi="Arial" w:cs="Arial"/>
                <w:b/>
                <w:bCs/>
                <w:sz w:val="24"/>
                <w:szCs w:val="24"/>
              </w:rPr>
            </w:pPr>
            <w:r w:rsidRPr="00791B66">
              <w:rPr>
                <w:rFonts w:ascii="Arial" w:hAnsi="Arial" w:cs="Arial"/>
                <w:b/>
                <w:bCs/>
                <w:sz w:val="24"/>
                <w:szCs w:val="24"/>
              </w:rPr>
              <w:t xml:space="preserve">% Total </w:t>
            </w:r>
          </w:p>
          <w:p w:rsidR="00071D62" w:rsidRDefault="00071D62" w:rsidP="00691388">
            <w:pPr>
              <w:jc w:val="right"/>
              <w:rPr>
                <w:rFonts w:ascii="Arial" w:hAnsi="Arial" w:cs="Arial"/>
                <w:b/>
                <w:bCs/>
                <w:sz w:val="24"/>
                <w:szCs w:val="24"/>
              </w:rPr>
            </w:pPr>
            <w:r>
              <w:rPr>
                <w:rFonts w:ascii="Arial" w:hAnsi="Arial" w:cs="Arial"/>
                <w:b/>
                <w:bCs/>
                <w:sz w:val="24"/>
                <w:szCs w:val="24"/>
              </w:rPr>
              <w:t>Reported</w:t>
            </w:r>
          </w:p>
          <w:p w:rsidR="00071D62" w:rsidRDefault="00071D62" w:rsidP="00691388">
            <w:pPr>
              <w:jc w:val="right"/>
              <w:rPr>
                <w:rFonts w:ascii="Arial" w:hAnsi="Arial" w:cs="Arial"/>
                <w:b/>
                <w:bCs/>
                <w:sz w:val="24"/>
                <w:szCs w:val="24"/>
                <w:lang w:eastAsia="en-US"/>
              </w:rPr>
            </w:pPr>
            <w:r>
              <w:rPr>
                <w:rFonts w:ascii="Arial" w:hAnsi="Arial" w:cs="Arial"/>
                <w:b/>
                <w:bCs/>
                <w:sz w:val="24"/>
                <w:szCs w:val="24"/>
              </w:rPr>
              <w:t>c</w:t>
            </w:r>
            <w:r w:rsidRPr="00791B66">
              <w:rPr>
                <w:rFonts w:ascii="Arial" w:hAnsi="Arial" w:cs="Arial"/>
                <w:b/>
                <w:bCs/>
                <w:sz w:val="24"/>
                <w:szCs w:val="24"/>
              </w:rPr>
              <w:t xml:space="preserve">hange </w:t>
            </w:r>
          </w:p>
        </w:tc>
        <w:tc>
          <w:tcPr>
            <w:tcW w:w="715" w:type="pct"/>
            <w:tcBorders>
              <w:bottom w:val="single" w:sz="4" w:space="0" w:color="auto"/>
            </w:tcBorders>
          </w:tcPr>
          <w:p w:rsidR="00071D62" w:rsidRDefault="00071D62" w:rsidP="00701EEA">
            <w:pPr>
              <w:ind w:left="-94" w:firstLine="94"/>
              <w:jc w:val="right"/>
              <w:rPr>
                <w:rFonts w:ascii="Arial" w:hAnsi="Arial" w:cs="Arial"/>
                <w:b/>
                <w:bCs/>
                <w:sz w:val="24"/>
                <w:szCs w:val="24"/>
              </w:rPr>
            </w:pPr>
            <w:r w:rsidRPr="00791B66">
              <w:rPr>
                <w:rFonts w:ascii="Arial" w:hAnsi="Arial" w:cs="Arial"/>
                <w:b/>
                <w:bCs/>
                <w:sz w:val="24"/>
                <w:szCs w:val="24"/>
              </w:rPr>
              <w:t>% Total C</w:t>
            </w:r>
            <w:r>
              <w:rPr>
                <w:rFonts w:ascii="Arial" w:hAnsi="Arial" w:cs="Arial"/>
                <w:b/>
                <w:bCs/>
                <w:sz w:val="24"/>
                <w:szCs w:val="24"/>
              </w:rPr>
              <w:t>onstant currency</w:t>
            </w:r>
          </w:p>
          <w:p w:rsidR="00071D62" w:rsidRPr="00791B66" w:rsidRDefault="00071D62" w:rsidP="00701EEA">
            <w:pPr>
              <w:ind w:left="-94" w:firstLine="94"/>
              <w:jc w:val="right"/>
              <w:rPr>
                <w:rFonts w:ascii="Arial" w:hAnsi="Arial" w:cs="Arial"/>
                <w:b/>
                <w:bCs/>
                <w:sz w:val="24"/>
                <w:szCs w:val="24"/>
              </w:rPr>
            </w:pPr>
            <w:r>
              <w:rPr>
                <w:rFonts w:ascii="Arial" w:hAnsi="Arial" w:cs="Arial"/>
                <w:b/>
                <w:bCs/>
                <w:sz w:val="24"/>
                <w:szCs w:val="24"/>
              </w:rPr>
              <w:t>c</w:t>
            </w:r>
            <w:r w:rsidRPr="00791B66">
              <w:rPr>
                <w:rFonts w:ascii="Arial" w:hAnsi="Arial" w:cs="Arial"/>
                <w:b/>
                <w:bCs/>
                <w:sz w:val="24"/>
                <w:szCs w:val="24"/>
              </w:rPr>
              <w:t xml:space="preserve">hange </w:t>
            </w:r>
          </w:p>
        </w:tc>
        <w:tc>
          <w:tcPr>
            <w:tcW w:w="578" w:type="pct"/>
            <w:tcBorders>
              <w:bottom w:val="single" w:sz="4" w:space="0" w:color="auto"/>
            </w:tcBorders>
          </w:tcPr>
          <w:p w:rsidR="00071D62" w:rsidRPr="00791B66" w:rsidRDefault="00071D62" w:rsidP="00701EEA">
            <w:pPr>
              <w:jc w:val="right"/>
              <w:rPr>
                <w:rFonts w:ascii="Arial" w:hAnsi="Arial" w:cs="Arial"/>
                <w:b/>
                <w:bCs/>
                <w:sz w:val="24"/>
                <w:szCs w:val="24"/>
              </w:rPr>
            </w:pPr>
            <w:r w:rsidRPr="00791B66">
              <w:rPr>
                <w:rFonts w:ascii="Arial" w:hAnsi="Arial" w:cs="Arial"/>
                <w:b/>
                <w:bCs/>
                <w:sz w:val="24"/>
                <w:szCs w:val="24"/>
              </w:rPr>
              <w:t>% Like-for-</w:t>
            </w:r>
            <w:r>
              <w:rPr>
                <w:rFonts w:ascii="Arial" w:hAnsi="Arial" w:cs="Arial"/>
                <w:b/>
                <w:bCs/>
                <w:sz w:val="24"/>
                <w:szCs w:val="24"/>
              </w:rPr>
              <w:t>l</w:t>
            </w:r>
            <w:r w:rsidRPr="00791B66">
              <w:rPr>
                <w:rFonts w:ascii="Arial" w:hAnsi="Arial" w:cs="Arial"/>
                <w:b/>
                <w:bCs/>
                <w:sz w:val="24"/>
                <w:szCs w:val="24"/>
              </w:rPr>
              <w:t>ike (LFL) change</w:t>
            </w:r>
          </w:p>
        </w:tc>
      </w:tr>
      <w:tr w:rsidR="00071D62" w:rsidRPr="00791B66">
        <w:tc>
          <w:tcPr>
            <w:tcW w:w="1366" w:type="pct"/>
            <w:tcBorders>
              <w:top w:val="single" w:sz="4" w:space="0" w:color="auto"/>
            </w:tcBorders>
          </w:tcPr>
          <w:p w:rsidR="00071D62" w:rsidRPr="00791B66" w:rsidRDefault="00071D62" w:rsidP="00701EEA">
            <w:pPr>
              <w:jc w:val="left"/>
              <w:rPr>
                <w:rFonts w:ascii="Arial" w:hAnsi="Arial" w:cs="Arial"/>
                <w:sz w:val="24"/>
                <w:szCs w:val="24"/>
              </w:rPr>
            </w:pPr>
            <w:r>
              <w:rPr>
                <w:rFonts w:ascii="Arial" w:hAnsi="Arial" w:cs="Arial"/>
                <w:sz w:val="24"/>
                <w:szCs w:val="24"/>
              </w:rPr>
              <w:t>Sales</w:t>
            </w:r>
          </w:p>
        </w:tc>
        <w:tc>
          <w:tcPr>
            <w:tcW w:w="785" w:type="pct"/>
            <w:tcBorders>
              <w:top w:val="single" w:sz="4" w:space="0" w:color="auto"/>
            </w:tcBorders>
          </w:tcPr>
          <w:p w:rsidR="00071D62" w:rsidRDefault="00071D62" w:rsidP="00701EEA">
            <w:pPr>
              <w:jc w:val="right"/>
              <w:rPr>
                <w:rFonts w:ascii="Arial" w:hAnsi="Arial" w:cs="Arial"/>
                <w:sz w:val="24"/>
                <w:szCs w:val="24"/>
              </w:rPr>
            </w:pPr>
            <w:r>
              <w:rPr>
                <w:rFonts w:ascii="Arial" w:hAnsi="Arial" w:cs="Arial"/>
                <w:sz w:val="24"/>
                <w:szCs w:val="24"/>
              </w:rPr>
              <w:t>£5,662m</w:t>
            </w:r>
          </w:p>
        </w:tc>
        <w:tc>
          <w:tcPr>
            <w:tcW w:w="787" w:type="pct"/>
            <w:tcBorders>
              <w:top w:val="single" w:sz="4" w:space="0" w:color="auto"/>
            </w:tcBorders>
          </w:tcPr>
          <w:p w:rsidR="00071D62" w:rsidRDefault="00071D62" w:rsidP="00633648">
            <w:pPr>
              <w:jc w:val="right"/>
              <w:rPr>
                <w:rFonts w:ascii="Arial" w:hAnsi="Arial" w:cs="Arial"/>
                <w:sz w:val="24"/>
                <w:szCs w:val="24"/>
              </w:rPr>
            </w:pPr>
            <w:r>
              <w:rPr>
                <w:rFonts w:ascii="Arial" w:hAnsi="Arial" w:cs="Arial"/>
                <w:sz w:val="24"/>
                <w:szCs w:val="24"/>
              </w:rPr>
              <w:t>£5,454m</w:t>
            </w:r>
          </w:p>
        </w:tc>
        <w:tc>
          <w:tcPr>
            <w:tcW w:w="769" w:type="pct"/>
            <w:tcBorders>
              <w:top w:val="single" w:sz="4" w:space="0" w:color="auto"/>
            </w:tcBorders>
          </w:tcPr>
          <w:p w:rsidR="00071D62" w:rsidRDefault="00071D62" w:rsidP="00701EEA">
            <w:pPr>
              <w:jc w:val="right"/>
              <w:rPr>
                <w:rFonts w:ascii="Arial" w:hAnsi="Arial" w:cs="Arial"/>
                <w:sz w:val="24"/>
                <w:szCs w:val="24"/>
              </w:rPr>
            </w:pPr>
            <w:r>
              <w:rPr>
                <w:rFonts w:ascii="Arial" w:hAnsi="Arial" w:cs="Arial"/>
                <w:sz w:val="24"/>
                <w:szCs w:val="24"/>
              </w:rPr>
              <w:t>+3.8%</w:t>
            </w:r>
          </w:p>
        </w:tc>
        <w:tc>
          <w:tcPr>
            <w:tcW w:w="715" w:type="pct"/>
            <w:tcBorders>
              <w:top w:val="single" w:sz="4" w:space="0" w:color="auto"/>
            </w:tcBorders>
          </w:tcPr>
          <w:p w:rsidR="00071D62" w:rsidRPr="00791B66" w:rsidRDefault="00071D62" w:rsidP="00701EEA">
            <w:pPr>
              <w:jc w:val="right"/>
              <w:rPr>
                <w:rFonts w:ascii="Arial" w:hAnsi="Arial" w:cs="Arial"/>
                <w:sz w:val="24"/>
                <w:szCs w:val="24"/>
              </w:rPr>
            </w:pPr>
            <w:r>
              <w:rPr>
                <w:rFonts w:ascii="Arial" w:hAnsi="Arial" w:cs="Arial"/>
                <w:sz w:val="24"/>
                <w:szCs w:val="24"/>
              </w:rPr>
              <w:t>+3.0%</w:t>
            </w:r>
          </w:p>
        </w:tc>
        <w:tc>
          <w:tcPr>
            <w:tcW w:w="578" w:type="pct"/>
            <w:tcBorders>
              <w:top w:val="single" w:sz="4" w:space="0" w:color="auto"/>
            </w:tcBorders>
          </w:tcPr>
          <w:p w:rsidR="00071D62" w:rsidRPr="00791B66" w:rsidRDefault="00071D62" w:rsidP="00701EEA">
            <w:pPr>
              <w:jc w:val="right"/>
              <w:rPr>
                <w:rFonts w:ascii="Arial" w:hAnsi="Arial" w:cs="Arial"/>
                <w:sz w:val="24"/>
                <w:szCs w:val="24"/>
              </w:rPr>
            </w:pPr>
            <w:r>
              <w:rPr>
                <w:rFonts w:ascii="Arial" w:hAnsi="Arial" w:cs="Arial"/>
                <w:sz w:val="24"/>
                <w:szCs w:val="24"/>
              </w:rPr>
              <w:t>+1.6%</w:t>
            </w:r>
          </w:p>
        </w:tc>
      </w:tr>
      <w:tr w:rsidR="00071D62" w:rsidRPr="00791B66">
        <w:tc>
          <w:tcPr>
            <w:tcW w:w="1366" w:type="pct"/>
            <w:tcBorders>
              <w:bottom w:val="single" w:sz="4" w:space="0" w:color="auto"/>
            </w:tcBorders>
          </w:tcPr>
          <w:p w:rsidR="00071D62" w:rsidRPr="00791B66" w:rsidRDefault="00071D62" w:rsidP="00701EEA">
            <w:pPr>
              <w:jc w:val="left"/>
              <w:rPr>
                <w:rFonts w:ascii="Arial" w:hAnsi="Arial" w:cs="Arial"/>
                <w:sz w:val="24"/>
                <w:szCs w:val="24"/>
              </w:rPr>
            </w:pPr>
            <w:r>
              <w:rPr>
                <w:rFonts w:ascii="Arial" w:hAnsi="Arial" w:cs="Arial"/>
                <w:sz w:val="24"/>
                <w:szCs w:val="24"/>
              </w:rPr>
              <w:t>Retail profit</w:t>
            </w:r>
          </w:p>
        </w:tc>
        <w:tc>
          <w:tcPr>
            <w:tcW w:w="785" w:type="pct"/>
            <w:tcBorders>
              <w:bottom w:val="single" w:sz="4" w:space="0" w:color="auto"/>
            </w:tcBorders>
          </w:tcPr>
          <w:p w:rsidR="00071D62" w:rsidRDefault="00071D62" w:rsidP="00701EEA">
            <w:pPr>
              <w:jc w:val="right"/>
              <w:rPr>
                <w:rFonts w:ascii="Arial" w:hAnsi="Arial" w:cs="Arial"/>
                <w:sz w:val="24"/>
                <w:szCs w:val="24"/>
              </w:rPr>
            </w:pPr>
            <w:r>
              <w:rPr>
                <w:rFonts w:ascii="Arial" w:hAnsi="Arial" w:cs="Arial"/>
                <w:sz w:val="24"/>
                <w:szCs w:val="24"/>
              </w:rPr>
              <w:t>£473m</w:t>
            </w:r>
          </w:p>
        </w:tc>
        <w:tc>
          <w:tcPr>
            <w:tcW w:w="787" w:type="pct"/>
            <w:tcBorders>
              <w:bottom w:val="single" w:sz="4" w:space="0" w:color="auto"/>
            </w:tcBorders>
          </w:tcPr>
          <w:p w:rsidR="00071D62" w:rsidRDefault="00071D62" w:rsidP="00633648">
            <w:pPr>
              <w:jc w:val="right"/>
              <w:rPr>
                <w:rFonts w:ascii="Arial" w:hAnsi="Arial" w:cs="Arial"/>
                <w:sz w:val="24"/>
                <w:szCs w:val="24"/>
              </w:rPr>
            </w:pPr>
            <w:r>
              <w:rPr>
                <w:rFonts w:ascii="Arial" w:hAnsi="Arial" w:cs="Arial"/>
                <w:sz w:val="24"/>
                <w:szCs w:val="24"/>
              </w:rPr>
              <w:t>£402m</w:t>
            </w:r>
          </w:p>
        </w:tc>
        <w:tc>
          <w:tcPr>
            <w:tcW w:w="769" w:type="pct"/>
            <w:tcBorders>
              <w:bottom w:val="single" w:sz="4" w:space="0" w:color="auto"/>
            </w:tcBorders>
          </w:tcPr>
          <w:p w:rsidR="00071D62" w:rsidRDefault="00071D62" w:rsidP="00701EEA">
            <w:pPr>
              <w:jc w:val="right"/>
              <w:rPr>
                <w:rFonts w:ascii="Arial" w:hAnsi="Arial" w:cs="Arial"/>
                <w:sz w:val="24"/>
                <w:szCs w:val="24"/>
              </w:rPr>
            </w:pPr>
            <w:r>
              <w:rPr>
                <w:rFonts w:ascii="Arial" w:hAnsi="Arial" w:cs="Arial"/>
                <w:sz w:val="24"/>
                <w:szCs w:val="24"/>
              </w:rPr>
              <w:t>+17.6%</w:t>
            </w:r>
          </w:p>
        </w:tc>
        <w:tc>
          <w:tcPr>
            <w:tcW w:w="715" w:type="pct"/>
            <w:tcBorders>
              <w:bottom w:val="single" w:sz="4" w:space="0" w:color="auto"/>
            </w:tcBorders>
          </w:tcPr>
          <w:p w:rsidR="00071D62" w:rsidRPr="00791B66" w:rsidRDefault="00071D62" w:rsidP="00701EEA">
            <w:pPr>
              <w:jc w:val="right"/>
              <w:rPr>
                <w:rFonts w:ascii="Arial" w:hAnsi="Arial" w:cs="Arial"/>
                <w:sz w:val="24"/>
                <w:szCs w:val="24"/>
              </w:rPr>
            </w:pPr>
            <w:r>
              <w:rPr>
                <w:rFonts w:ascii="Arial" w:hAnsi="Arial" w:cs="Arial"/>
                <w:sz w:val="24"/>
                <w:szCs w:val="24"/>
              </w:rPr>
              <w:t>+16.5%</w:t>
            </w:r>
          </w:p>
        </w:tc>
        <w:tc>
          <w:tcPr>
            <w:tcW w:w="578" w:type="pct"/>
            <w:tcBorders>
              <w:bottom w:val="single" w:sz="4" w:space="0" w:color="auto"/>
            </w:tcBorders>
          </w:tcPr>
          <w:p w:rsidR="00071D62" w:rsidRPr="00791B66" w:rsidRDefault="00071D62" w:rsidP="00701EEA">
            <w:pPr>
              <w:jc w:val="right"/>
              <w:rPr>
                <w:rFonts w:ascii="Arial" w:hAnsi="Arial" w:cs="Arial"/>
                <w:sz w:val="24"/>
                <w:szCs w:val="24"/>
              </w:rPr>
            </w:pPr>
          </w:p>
        </w:tc>
      </w:tr>
      <w:tr w:rsidR="00071D62" w:rsidRPr="00791B66">
        <w:tc>
          <w:tcPr>
            <w:tcW w:w="1366" w:type="pct"/>
            <w:tcBorders>
              <w:top w:val="single" w:sz="4" w:space="0" w:color="auto"/>
            </w:tcBorders>
          </w:tcPr>
          <w:p w:rsidR="00071D62" w:rsidRPr="00791B66" w:rsidRDefault="00071D62" w:rsidP="00701EEA">
            <w:pPr>
              <w:jc w:val="left"/>
              <w:rPr>
                <w:rFonts w:ascii="Arial" w:hAnsi="Arial" w:cs="Arial"/>
                <w:sz w:val="24"/>
                <w:szCs w:val="24"/>
              </w:rPr>
            </w:pPr>
            <w:r w:rsidRPr="00791B66">
              <w:rPr>
                <w:rFonts w:ascii="Arial" w:hAnsi="Arial" w:cs="Arial"/>
                <w:sz w:val="24"/>
                <w:szCs w:val="24"/>
              </w:rPr>
              <w:t xml:space="preserve">Adjusted pre-tax profit </w:t>
            </w:r>
          </w:p>
        </w:tc>
        <w:tc>
          <w:tcPr>
            <w:tcW w:w="785" w:type="pct"/>
            <w:tcBorders>
              <w:top w:val="single" w:sz="4" w:space="0" w:color="auto"/>
            </w:tcBorders>
          </w:tcPr>
          <w:p w:rsidR="00071D62" w:rsidRPr="00791B66" w:rsidRDefault="00071D62" w:rsidP="00701EEA">
            <w:pPr>
              <w:jc w:val="right"/>
              <w:rPr>
                <w:rFonts w:ascii="Arial" w:hAnsi="Arial" w:cs="Arial"/>
                <w:sz w:val="24"/>
                <w:szCs w:val="24"/>
              </w:rPr>
            </w:pPr>
            <w:r>
              <w:rPr>
                <w:rFonts w:ascii="Arial" w:hAnsi="Arial" w:cs="Arial"/>
                <w:sz w:val="24"/>
                <w:szCs w:val="24"/>
              </w:rPr>
              <w:t>£439m</w:t>
            </w:r>
          </w:p>
        </w:tc>
        <w:tc>
          <w:tcPr>
            <w:tcW w:w="787" w:type="pct"/>
            <w:tcBorders>
              <w:top w:val="single" w:sz="4" w:space="0" w:color="auto"/>
            </w:tcBorders>
          </w:tcPr>
          <w:p w:rsidR="00071D62" w:rsidRPr="00791B66" w:rsidRDefault="00071D62" w:rsidP="00633648">
            <w:pPr>
              <w:jc w:val="right"/>
              <w:rPr>
                <w:rFonts w:ascii="Arial" w:hAnsi="Arial" w:cs="Arial"/>
                <w:sz w:val="24"/>
                <w:szCs w:val="24"/>
              </w:rPr>
            </w:pPr>
            <w:r>
              <w:rPr>
                <w:rFonts w:ascii="Arial" w:hAnsi="Arial" w:cs="Arial"/>
                <w:sz w:val="24"/>
                <w:szCs w:val="24"/>
              </w:rPr>
              <w:t>£354m</w:t>
            </w:r>
          </w:p>
        </w:tc>
        <w:tc>
          <w:tcPr>
            <w:tcW w:w="769" w:type="pct"/>
            <w:tcBorders>
              <w:top w:val="single" w:sz="4" w:space="0" w:color="auto"/>
            </w:tcBorders>
          </w:tcPr>
          <w:p w:rsidR="00071D62" w:rsidRPr="00791B66" w:rsidRDefault="00071D62" w:rsidP="00701EEA">
            <w:pPr>
              <w:jc w:val="right"/>
              <w:rPr>
                <w:rFonts w:ascii="Arial" w:hAnsi="Arial" w:cs="Arial"/>
                <w:sz w:val="24"/>
                <w:szCs w:val="24"/>
              </w:rPr>
            </w:pPr>
            <w:r>
              <w:rPr>
                <w:rFonts w:ascii="Arial" w:hAnsi="Arial" w:cs="Arial"/>
                <w:sz w:val="24"/>
                <w:szCs w:val="24"/>
              </w:rPr>
              <w:t>+24.0%</w:t>
            </w:r>
          </w:p>
        </w:tc>
        <w:tc>
          <w:tcPr>
            <w:tcW w:w="715" w:type="pct"/>
            <w:tcBorders>
              <w:top w:val="single" w:sz="4" w:space="0" w:color="auto"/>
            </w:tcBorders>
          </w:tcPr>
          <w:p w:rsidR="00071D62" w:rsidRPr="00791B66" w:rsidRDefault="00071D62" w:rsidP="00701EEA">
            <w:pPr>
              <w:jc w:val="right"/>
              <w:rPr>
                <w:rFonts w:ascii="Arial" w:hAnsi="Arial" w:cs="Arial"/>
                <w:sz w:val="24"/>
                <w:szCs w:val="24"/>
              </w:rPr>
            </w:pPr>
          </w:p>
        </w:tc>
        <w:tc>
          <w:tcPr>
            <w:tcW w:w="578" w:type="pct"/>
            <w:tcBorders>
              <w:top w:val="single" w:sz="4" w:space="0" w:color="auto"/>
            </w:tcBorders>
          </w:tcPr>
          <w:p w:rsidR="00071D62" w:rsidRPr="00791B66" w:rsidRDefault="00071D62" w:rsidP="00701EEA">
            <w:pPr>
              <w:jc w:val="right"/>
              <w:rPr>
                <w:rFonts w:ascii="Arial" w:hAnsi="Arial" w:cs="Arial"/>
                <w:sz w:val="24"/>
                <w:szCs w:val="24"/>
              </w:rPr>
            </w:pPr>
          </w:p>
        </w:tc>
      </w:tr>
      <w:tr w:rsidR="00071D62" w:rsidRPr="00791B66">
        <w:tc>
          <w:tcPr>
            <w:tcW w:w="1366" w:type="pct"/>
            <w:tcBorders>
              <w:bottom w:val="single" w:sz="4" w:space="0" w:color="auto"/>
            </w:tcBorders>
          </w:tcPr>
          <w:p w:rsidR="00071D62" w:rsidRPr="00791B66" w:rsidRDefault="00071D62" w:rsidP="00701EEA">
            <w:pPr>
              <w:jc w:val="left"/>
              <w:rPr>
                <w:rFonts w:ascii="Arial" w:hAnsi="Arial" w:cs="Arial"/>
                <w:sz w:val="24"/>
                <w:szCs w:val="24"/>
              </w:rPr>
            </w:pPr>
            <w:r w:rsidRPr="00791B66">
              <w:rPr>
                <w:rFonts w:ascii="Arial" w:hAnsi="Arial" w:cs="Arial"/>
                <w:sz w:val="24"/>
                <w:szCs w:val="24"/>
              </w:rPr>
              <w:t xml:space="preserve">Adjusted basic EPS </w:t>
            </w:r>
          </w:p>
        </w:tc>
        <w:tc>
          <w:tcPr>
            <w:tcW w:w="785" w:type="pct"/>
            <w:tcBorders>
              <w:bottom w:val="single" w:sz="4" w:space="0" w:color="auto"/>
            </w:tcBorders>
          </w:tcPr>
          <w:p w:rsidR="00071D62" w:rsidRPr="00791B66" w:rsidRDefault="00071D62" w:rsidP="00701EEA">
            <w:pPr>
              <w:jc w:val="right"/>
              <w:rPr>
                <w:rFonts w:ascii="Arial" w:hAnsi="Arial" w:cs="Arial"/>
                <w:sz w:val="24"/>
                <w:szCs w:val="24"/>
              </w:rPr>
            </w:pPr>
            <w:r>
              <w:rPr>
                <w:rFonts w:ascii="Arial" w:hAnsi="Arial" w:cs="Arial"/>
                <w:sz w:val="24"/>
                <w:szCs w:val="24"/>
              </w:rPr>
              <w:t>13.5p</w:t>
            </w:r>
          </w:p>
        </w:tc>
        <w:tc>
          <w:tcPr>
            <w:tcW w:w="787" w:type="pct"/>
            <w:tcBorders>
              <w:bottom w:val="single" w:sz="4" w:space="0" w:color="auto"/>
            </w:tcBorders>
          </w:tcPr>
          <w:p w:rsidR="00071D62" w:rsidRPr="00791B66" w:rsidRDefault="00071D62" w:rsidP="00633648">
            <w:pPr>
              <w:jc w:val="right"/>
              <w:rPr>
                <w:rFonts w:ascii="Arial" w:hAnsi="Arial" w:cs="Arial"/>
                <w:sz w:val="24"/>
                <w:szCs w:val="24"/>
              </w:rPr>
            </w:pPr>
            <w:r>
              <w:rPr>
                <w:rFonts w:ascii="Arial" w:hAnsi="Arial" w:cs="Arial"/>
                <w:sz w:val="24"/>
                <w:szCs w:val="24"/>
              </w:rPr>
              <w:t>10.6p</w:t>
            </w:r>
          </w:p>
        </w:tc>
        <w:tc>
          <w:tcPr>
            <w:tcW w:w="769" w:type="pct"/>
            <w:tcBorders>
              <w:bottom w:val="single" w:sz="4" w:space="0" w:color="auto"/>
            </w:tcBorders>
          </w:tcPr>
          <w:p w:rsidR="00071D62" w:rsidRPr="00791B66" w:rsidRDefault="00071D62" w:rsidP="00701EEA">
            <w:pPr>
              <w:jc w:val="right"/>
              <w:rPr>
                <w:rFonts w:ascii="Arial" w:hAnsi="Arial" w:cs="Arial"/>
                <w:sz w:val="24"/>
                <w:szCs w:val="24"/>
              </w:rPr>
            </w:pPr>
            <w:r>
              <w:rPr>
                <w:rFonts w:ascii="Arial" w:hAnsi="Arial" w:cs="Arial"/>
                <w:sz w:val="24"/>
                <w:szCs w:val="24"/>
              </w:rPr>
              <w:t>+27.4%</w:t>
            </w:r>
          </w:p>
        </w:tc>
        <w:tc>
          <w:tcPr>
            <w:tcW w:w="715" w:type="pct"/>
            <w:tcBorders>
              <w:bottom w:val="single" w:sz="4" w:space="0" w:color="auto"/>
            </w:tcBorders>
          </w:tcPr>
          <w:p w:rsidR="00071D62" w:rsidRPr="00791B66" w:rsidRDefault="00071D62" w:rsidP="00701EEA">
            <w:pPr>
              <w:jc w:val="right"/>
              <w:rPr>
                <w:rFonts w:ascii="Arial" w:hAnsi="Arial" w:cs="Arial"/>
                <w:sz w:val="24"/>
                <w:szCs w:val="24"/>
              </w:rPr>
            </w:pPr>
          </w:p>
        </w:tc>
        <w:tc>
          <w:tcPr>
            <w:tcW w:w="578" w:type="pct"/>
            <w:tcBorders>
              <w:bottom w:val="single" w:sz="4" w:space="0" w:color="auto"/>
            </w:tcBorders>
          </w:tcPr>
          <w:p w:rsidR="00071D62" w:rsidRPr="00791B66" w:rsidRDefault="00071D62" w:rsidP="00701EEA">
            <w:pPr>
              <w:jc w:val="right"/>
              <w:rPr>
                <w:rFonts w:ascii="Arial" w:hAnsi="Arial" w:cs="Arial"/>
                <w:sz w:val="24"/>
                <w:szCs w:val="24"/>
              </w:rPr>
            </w:pPr>
          </w:p>
        </w:tc>
      </w:tr>
      <w:tr w:rsidR="00071D62" w:rsidRPr="00791B66">
        <w:tc>
          <w:tcPr>
            <w:tcW w:w="1366" w:type="pct"/>
            <w:tcBorders>
              <w:top w:val="single" w:sz="4" w:space="0" w:color="auto"/>
              <w:bottom w:val="single" w:sz="4" w:space="0" w:color="auto"/>
            </w:tcBorders>
          </w:tcPr>
          <w:p w:rsidR="00071D62" w:rsidRPr="00791B66" w:rsidRDefault="00071D62" w:rsidP="00ED2504">
            <w:pPr>
              <w:jc w:val="left"/>
              <w:rPr>
                <w:rFonts w:ascii="Arial" w:hAnsi="Arial" w:cs="Arial"/>
                <w:sz w:val="24"/>
                <w:szCs w:val="24"/>
              </w:rPr>
            </w:pPr>
            <w:r w:rsidRPr="00791B66">
              <w:rPr>
                <w:rFonts w:ascii="Arial" w:hAnsi="Arial" w:cs="Arial"/>
                <w:sz w:val="24"/>
                <w:szCs w:val="24"/>
              </w:rPr>
              <w:t>Interim dividend</w:t>
            </w:r>
          </w:p>
        </w:tc>
        <w:tc>
          <w:tcPr>
            <w:tcW w:w="785" w:type="pct"/>
            <w:tcBorders>
              <w:top w:val="single" w:sz="4" w:space="0" w:color="auto"/>
              <w:bottom w:val="single" w:sz="4" w:space="0" w:color="auto"/>
            </w:tcBorders>
          </w:tcPr>
          <w:p w:rsidR="00071D62" w:rsidRPr="00791B66" w:rsidDel="006212BA" w:rsidRDefault="00071D62" w:rsidP="00701EEA">
            <w:pPr>
              <w:jc w:val="right"/>
              <w:rPr>
                <w:rFonts w:ascii="Arial" w:hAnsi="Arial" w:cs="Arial"/>
                <w:sz w:val="24"/>
                <w:szCs w:val="24"/>
              </w:rPr>
            </w:pPr>
            <w:r>
              <w:rPr>
                <w:rFonts w:ascii="Arial" w:hAnsi="Arial" w:cs="Arial"/>
                <w:sz w:val="24"/>
                <w:szCs w:val="24"/>
              </w:rPr>
              <w:t>2.47p</w:t>
            </w:r>
          </w:p>
        </w:tc>
        <w:tc>
          <w:tcPr>
            <w:tcW w:w="787" w:type="pct"/>
            <w:tcBorders>
              <w:top w:val="single" w:sz="4" w:space="0" w:color="auto"/>
              <w:bottom w:val="single" w:sz="4" w:space="0" w:color="auto"/>
            </w:tcBorders>
          </w:tcPr>
          <w:p w:rsidR="00071D62" w:rsidRPr="00791B66" w:rsidDel="006212BA" w:rsidRDefault="00071D62" w:rsidP="00633648">
            <w:pPr>
              <w:jc w:val="right"/>
              <w:rPr>
                <w:rFonts w:ascii="Arial" w:hAnsi="Arial" w:cs="Arial"/>
                <w:sz w:val="24"/>
                <w:szCs w:val="24"/>
              </w:rPr>
            </w:pPr>
            <w:r>
              <w:rPr>
                <w:rFonts w:ascii="Arial" w:hAnsi="Arial" w:cs="Arial"/>
                <w:sz w:val="24"/>
                <w:szCs w:val="24"/>
              </w:rPr>
              <w:t>1.925p</w:t>
            </w:r>
          </w:p>
        </w:tc>
        <w:tc>
          <w:tcPr>
            <w:tcW w:w="769" w:type="pct"/>
            <w:tcBorders>
              <w:top w:val="single" w:sz="4" w:space="0" w:color="auto"/>
              <w:bottom w:val="single" w:sz="4" w:space="0" w:color="auto"/>
            </w:tcBorders>
          </w:tcPr>
          <w:p w:rsidR="00071D62" w:rsidRPr="00791B66" w:rsidDel="002A482E" w:rsidRDefault="00071D62" w:rsidP="00701EEA">
            <w:pPr>
              <w:jc w:val="right"/>
              <w:rPr>
                <w:rFonts w:ascii="Arial" w:hAnsi="Arial" w:cs="Arial"/>
                <w:sz w:val="24"/>
                <w:szCs w:val="24"/>
              </w:rPr>
            </w:pPr>
            <w:r>
              <w:rPr>
                <w:rFonts w:ascii="Arial" w:hAnsi="Arial" w:cs="Arial"/>
                <w:sz w:val="24"/>
                <w:szCs w:val="24"/>
              </w:rPr>
              <w:t>+28.3%</w:t>
            </w:r>
          </w:p>
        </w:tc>
        <w:tc>
          <w:tcPr>
            <w:tcW w:w="715" w:type="pct"/>
            <w:tcBorders>
              <w:top w:val="single" w:sz="4" w:space="0" w:color="auto"/>
              <w:bottom w:val="single" w:sz="4" w:space="0" w:color="auto"/>
            </w:tcBorders>
          </w:tcPr>
          <w:p w:rsidR="00071D62" w:rsidRPr="00791B66" w:rsidRDefault="00071D62" w:rsidP="00701EEA">
            <w:pPr>
              <w:jc w:val="right"/>
              <w:rPr>
                <w:rFonts w:ascii="Arial" w:hAnsi="Arial" w:cs="Arial"/>
                <w:sz w:val="24"/>
                <w:szCs w:val="24"/>
              </w:rPr>
            </w:pPr>
          </w:p>
        </w:tc>
        <w:tc>
          <w:tcPr>
            <w:tcW w:w="578" w:type="pct"/>
            <w:tcBorders>
              <w:top w:val="single" w:sz="4" w:space="0" w:color="auto"/>
              <w:bottom w:val="single" w:sz="4" w:space="0" w:color="auto"/>
            </w:tcBorders>
          </w:tcPr>
          <w:p w:rsidR="00071D62" w:rsidRPr="00791B66" w:rsidRDefault="00071D62" w:rsidP="00701EEA">
            <w:pPr>
              <w:jc w:val="right"/>
              <w:rPr>
                <w:rFonts w:ascii="Arial" w:hAnsi="Arial" w:cs="Arial"/>
                <w:sz w:val="24"/>
                <w:szCs w:val="24"/>
              </w:rPr>
            </w:pPr>
          </w:p>
        </w:tc>
      </w:tr>
      <w:tr w:rsidR="00071D62" w:rsidRPr="00791B66">
        <w:tc>
          <w:tcPr>
            <w:tcW w:w="1366" w:type="pct"/>
            <w:tcBorders>
              <w:top w:val="single" w:sz="4" w:space="0" w:color="auto"/>
              <w:bottom w:val="single" w:sz="4" w:space="0" w:color="auto"/>
            </w:tcBorders>
          </w:tcPr>
          <w:p w:rsidR="00071D62" w:rsidRPr="00791B66" w:rsidRDefault="00071D62" w:rsidP="0095239A">
            <w:pPr>
              <w:ind w:right="-352"/>
              <w:jc w:val="left"/>
              <w:rPr>
                <w:rFonts w:ascii="Arial" w:hAnsi="Arial" w:cs="Arial"/>
                <w:sz w:val="24"/>
                <w:szCs w:val="24"/>
              </w:rPr>
            </w:pPr>
            <w:r>
              <w:rPr>
                <w:rFonts w:ascii="Arial" w:hAnsi="Arial" w:cs="Arial"/>
                <w:sz w:val="24"/>
                <w:szCs w:val="24"/>
              </w:rPr>
              <w:t xml:space="preserve">(Financial net debt) </w:t>
            </w:r>
            <w:r w:rsidRPr="00791B66">
              <w:rPr>
                <w:rFonts w:ascii="Arial" w:hAnsi="Arial" w:cs="Arial"/>
                <w:sz w:val="24"/>
                <w:szCs w:val="24"/>
              </w:rPr>
              <w:t>/</w:t>
            </w:r>
            <w:r>
              <w:rPr>
                <w:rFonts w:ascii="Arial" w:hAnsi="Arial" w:cs="Arial"/>
                <w:sz w:val="24"/>
                <w:szCs w:val="24"/>
              </w:rPr>
              <w:t xml:space="preserve"> </w:t>
            </w:r>
            <w:r w:rsidRPr="00791B66">
              <w:rPr>
                <w:rFonts w:ascii="Arial" w:hAnsi="Arial" w:cs="Arial"/>
                <w:sz w:val="24"/>
                <w:szCs w:val="24"/>
              </w:rPr>
              <w:t xml:space="preserve">net </w:t>
            </w:r>
            <w:r>
              <w:rPr>
                <w:rFonts w:ascii="Arial" w:hAnsi="Arial" w:cs="Arial"/>
                <w:sz w:val="24"/>
                <w:szCs w:val="24"/>
              </w:rPr>
              <w:t>cash</w:t>
            </w:r>
          </w:p>
        </w:tc>
        <w:tc>
          <w:tcPr>
            <w:tcW w:w="785" w:type="pct"/>
            <w:tcBorders>
              <w:top w:val="single" w:sz="4" w:space="0" w:color="auto"/>
              <w:bottom w:val="single" w:sz="4" w:space="0" w:color="auto"/>
            </w:tcBorders>
          </w:tcPr>
          <w:p w:rsidR="00071D62" w:rsidRPr="00791B66" w:rsidRDefault="00071D62" w:rsidP="002F1F0F">
            <w:pPr>
              <w:jc w:val="right"/>
              <w:rPr>
                <w:rFonts w:ascii="Arial" w:hAnsi="Arial" w:cs="Arial"/>
                <w:sz w:val="24"/>
                <w:szCs w:val="24"/>
              </w:rPr>
            </w:pPr>
            <w:r>
              <w:rPr>
                <w:rFonts w:ascii="Arial" w:hAnsi="Arial" w:cs="Arial"/>
                <w:sz w:val="24"/>
                <w:szCs w:val="24"/>
              </w:rPr>
              <w:t>£(186)m</w:t>
            </w:r>
          </w:p>
        </w:tc>
        <w:tc>
          <w:tcPr>
            <w:tcW w:w="787" w:type="pct"/>
            <w:tcBorders>
              <w:top w:val="single" w:sz="4" w:space="0" w:color="auto"/>
              <w:bottom w:val="single" w:sz="4" w:space="0" w:color="auto"/>
            </w:tcBorders>
          </w:tcPr>
          <w:p w:rsidR="00071D62" w:rsidRPr="00791B66" w:rsidRDefault="00071D62" w:rsidP="00633648">
            <w:pPr>
              <w:jc w:val="right"/>
              <w:rPr>
                <w:rFonts w:ascii="Arial" w:hAnsi="Arial" w:cs="Arial"/>
                <w:sz w:val="24"/>
                <w:szCs w:val="24"/>
              </w:rPr>
            </w:pPr>
            <w:r>
              <w:rPr>
                <w:rFonts w:ascii="Arial" w:hAnsi="Arial" w:cs="Arial"/>
                <w:sz w:val="24"/>
                <w:szCs w:val="24"/>
              </w:rPr>
              <w:t>£19m</w:t>
            </w:r>
          </w:p>
        </w:tc>
        <w:tc>
          <w:tcPr>
            <w:tcW w:w="769" w:type="pct"/>
            <w:tcBorders>
              <w:top w:val="single" w:sz="4" w:space="0" w:color="auto"/>
              <w:bottom w:val="single" w:sz="4" w:space="0" w:color="auto"/>
            </w:tcBorders>
          </w:tcPr>
          <w:p w:rsidR="00071D62" w:rsidRPr="00791B66" w:rsidRDefault="00071D62" w:rsidP="002F1F0F">
            <w:pPr>
              <w:jc w:val="right"/>
              <w:rPr>
                <w:rFonts w:ascii="Arial" w:hAnsi="Arial" w:cs="Arial"/>
                <w:sz w:val="24"/>
                <w:szCs w:val="24"/>
              </w:rPr>
            </w:pPr>
            <w:r>
              <w:rPr>
                <w:rFonts w:ascii="Arial" w:hAnsi="Arial" w:cs="Arial"/>
                <w:sz w:val="24"/>
                <w:szCs w:val="24"/>
              </w:rPr>
              <w:t>n/a</w:t>
            </w:r>
          </w:p>
        </w:tc>
        <w:tc>
          <w:tcPr>
            <w:tcW w:w="715" w:type="pct"/>
            <w:tcBorders>
              <w:top w:val="single" w:sz="4" w:space="0" w:color="auto"/>
              <w:bottom w:val="single" w:sz="4" w:space="0" w:color="auto"/>
            </w:tcBorders>
          </w:tcPr>
          <w:p w:rsidR="00071D62" w:rsidRPr="00791B66" w:rsidRDefault="00071D62" w:rsidP="002F1F0F">
            <w:pPr>
              <w:jc w:val="right"/>
              <w:rPr>
                <w:rFonts w:ascii="Arial" w:hAnsi="Arial" w:cs="Arial"/>
                <w:sz w:val="24"/>
                <w:szCs w:val="24"/>
              </w:rPr>
            </w:pPr>
          </w:p>
        </w:tc>
        <w:tc>
          <w:tcPr>
            <w:tcW w:w="578" w:type="pct"/>
            <w:tcBorders>
              <w:top w:val="single" w:sz="4" w:space="0" w:color="auto"/>
              <w:bottom w:val="single" w:sz="4" w:space="0" w:color="auto"/>
            </w:tcBorders>
          </w:tcPr>
          <w:p w:rsidR="00071D62" w:rsidRPr="00791B66" w:rsidRDefault="00071D62" w:rsidP="002F1F0F">
            <w:pPr>
              <w:jc w:val="right"/>
              <w:rPr>
                <w:rFonts w:ascii="Arial" w:hAnsi="Arial" w:cs="Arial"/>
                <w:sz w:val="24"/>
                <w:szCs w:val="24"/>
              </w:rPr>
            </w:pPr>
          </w:p>
        </w:tc>
      </w:tr>
    </w:tbl>
    <w:p w:rsidR="00071D62" w:rsidRPr="002A79FF" w:rsidRDefault="00071D62" w:rsidP="004824BB">
      <w:pPr>
        <w:tabs>
          <w:tab w:val="left" w:pos="357"/>
        </w:tabs>
        <w:ind w:right="-282"/>
        <w:jc w:val="left"/>
        <w:rPr>
          <w:rFonts w:ascii="Arial" w:hAnsi="Arial" w:cs="Arial"/>
          <w:b/>
          <w:bCs/>
          <w:i/>
          <w:iCs/>
          <w:sz w:val="18"/>
          <w:szCs w:val="18"/>
        </w:rPr>
      </w:pPr>
      <w:r w:rsidRPr="002A79FF">
        <w:rPr>
          <w:rFonts w:ascii="Arial" w:hAnsi="Arial" w:cs="Arial"/>
          <w:i/>
          <w:iCs/>
          <w:sz w:val="18"/>
          <w:szCs w:val="18"/>
        </w:rPr>
        <w:t>Note: Joint Venture (</w:t>
      </w:r>
      <w:r w:rsidRPr="00DF37D4">
        <w:rPr>
          <w:rFonts w:ascii="Arial" w:hAnsi="Arial" w:cs="Arial"/>
          <w:i/>
          <w:iCs/>
          <w:sz w:val="18"/>
          <w:szCs w:val="18"/>
        </w:rPr>
        <w:t>Koçtaş</w:t>
      </w:r>
      <w:r w:rsidRPr="002A79FF">
        <w:rPr>
          <w:rFonts w:ascii="Arial" w:hAnsi="Arial" w:cs="Arial"/>
          <w:i/>
          <w:iCs/>
          <w:sz w:val="18"/>
          <w:szCs w:val="18"/>
        </w:rPr>
        <w:t xml:space="preserve"> JV) and Associate </w:t>
      </w:r>
      <w:r>
        <w:rPr>
          <w:rFonts w:ascii="Arial" w:hAnsi="Arial" w:cs="Arial"/>
          <w:i/>
          <w:iCs/>
          <w:sz w:val="18"/>
          <w:szCs w:val="18"/>
        </w:rPr>
        <w:t xml:space="preserve">(Hornbach) </w:t>
      </w:r>
      <w:r w:rsidRPr="002A79FF">
        <w:rPr>
          <w:rFonts w:ascii="Arial" w:hAnsi="Arial" w:cs="Arial"/>
          <w:i/>
          <w:iCs/>
          <w:sz w:val="18"/>
          <w:szCs w:val="18"/>
        </w:rPr>
        <w:t xml:space="preserve">sales are not consolidated. Retail profit is </w:t>
      </w:r>
      <w:r>
        <w:rPr>
          <w:rFonts w:ascii="Arial" w:hAnsi="Arial" w:cs="Arial"/>
          <w:i/>
          <w:iCs/>
          <w:sz w:val="18"/>
          <w:szCs w:val="18"/>
        </w:rPr>
        <w:t xml:space="preserve">operating profit </w:t>
      </w:r>
      <w:r w:rsidRPr="002A79FF">
        <w:rPr>
          <w:rFonts w:ascii="Arial" w:hAnsi="Arial" w:cs="Arial"/>
          <w:i/>
          <w:iCs/>
          <w:sz w:val="18"/>
          <w:szCs w:val="18"/>
        </w:rPr>
        <w:t>stated before ce</w:t>
      </w:r>
      <w:r>
        <w:rPr>
          <w:rFonts w:ascii="Arial" w:hAnsi="Arial" w:cs="Arial"/>
          <w:i/>
          <w:iCs/>
          <w:sz w:val="18"/>
          <w:szCs w:val="18"/>
        </w:rPr>
        <w:t>ntral costs,</w:t>
      </w:r>
      <w:r w:rsidRPr="002A79FF">
        <w:rPr>
          <w:rFonts w:ascii="Arial" w:hAnsi="Arial" w:cs="Arial"/>
          <w:i/>
          <w:iCs/>
          <w:sz w:val="18"/>
          <w:szCs w:val="18"/>
        </w:rPr>
        <w:t xml:space="preserve"> </w:t>
      </w:r>
      <w:r>
        <w:rPr>
          <w:rFonts w:ascii="Arial" w:hAnsi="Arial" w:cs="Arial"/>
          <w:i/>
          <w:iCs/>
          <w:sz w:val="18"/>
          <w:szCs w:val="18"/>
        </w:rPr>
        <w:t xml:space="preserve">exceptional items, </w:t>
      </w:r>
      <w:r w:rsidRPr="002A79FF">
        <w:rPr>
          <w:rFonts w:ascii="Arial" w:hAnsi="Arial" w:cs="Arial"/>
          <w:i/>
          <w:iCs/>
          <w:sz w:val="18"/>
          <w:szCs w:val="18"/>
        </w:rPr>
        <w:t>amortisa</w:t>
      </w:r>
      <w:r>
        <w:rPr>
          <w:rFonts w:ascii="Arial" w:hAnsi="Arial" w:cs="Arial"/>
          <w:i/>
          <w:iCs/>
          <w:sz w:val="18"/>
          <w:szCs w:val="18"/>
        </w:rPr>
        <w:t xml:space="preserve">tion of acquisition intangibles </w:t>
      </w:r>
      <w:r w:rsidRPr="002A79FF">
        <w:rPr>
          <w:rFonts w:ascii="Arial" w:hAnsi="Arial" w:cs="Arial"/>
          <w:i/>
          <w:iCs/>
          <w:sz w:val="18"/>
          <w:szCs w:val="18"/>
        </w:rPr>
        <w:t>and the Group’s share of interest and tax of JVs and associates. Adjusted measures are before exceptional items, financing fair value remeasurements, amortisation of acquisition intangibles, related tax items and tax on prior year items.</w:t>
      </w:r>
      <w:r>
        <w:rPr>
          <w:rFonts w:ascii="Arial" w:hAnsi="Arial" w:cs="Arial"/>
          <w:i/>
          <w:iCs/>
          <w:sz w:val="18"/>
          <w:szCs w:val="18"/>
        </w:rPr>
        <w:t xml:space="preserve"> </w:t>
      </w:r>
      <w:r w:rsidRPr="002A79FF">
        <w:rPr>
          <w:rFonts w:ascii="Arial" w:hAnsi="Arial" w:cs="Arial"/>
          <w:i/>
          <w:iCs/>
          <w:sz w:val="18"/>
          <w:szCs w:val="18"/>
        </w:rPr>
        <w:t>A</w:t>
      </w:r>
      <w:r>
        <w:rPr>
          <w:rFonts w:ascii="Arial" w:hAnsi="Arial" w:cs="Arial"/>
          <w:i/>
          <w:iCs/>
          <w:sz w:val="18"/>
          <w:szCs w:val="18"/>
        </w:rPr>
        <w:t xml:space="preserve"> </w:t>
      </w:r>
      <w:r w:rsidRPr="002A79FF">
        <w:rPr>
          <w:rFonts w:ascii="Arial" w:hAnsi="Arial" w:cs="Arial"/>
          <w:i/>
          <w:iCs/>
          <w:sz w:val="18"/>
          <w:szCs w:val="18"/>
        </w:rPr>
        <w:t>reconciliation to statutory amounts is set out in the Financial Review.</w:t>
      </w:r>
    </w:p>
    <w:p w:rsidR="00071D62" w:rsidRPr="00791B66" w:rsidRDefault="00071D62" w:rsidP="0026633C">
      <w:pPr>
        <w:jc w:val="left"/>
        <w:rPr>
          <w:rFonts w:ascii="Arial" w:hAnsi="Arial" w:cs="Arial"/>
          <w:sz w:val="24"/>
          <w:szCs w:val="24"/>
        </w:rPr>
      </w:pPr>
    </w:p>
    <w:p w:rsidR="00071D62" w:rsidRDefault="00071D62" w:rsidP="000537E2">
      <w:pPr>
        <w:jc w:val="left"/>
        <w:rPr>
          <w:rFonts w:ascii="Arial" w:hAnsi="Arial" w:cs="Arial"/>
          <w:b/>
          <w:bCs/>
          <w:sz w:val="24"/>
          <w:szCs w:val="24"/>
          <w:u w:val="single"/>
        </w:rPr>
      </w:pPr>
      <w:r w:rsidRPr="00791B66">
        <w:rPr>
          <w:rFonts w:ascii="Arial" w:hAnsi="Arial" w:cs="Arial"/>
          <w:b/>
          <w:bCs/>
          <w:sz w:val="24"/>
          <w:szCs w:val="24"/>
          <w:u w:val="single"/>
        </w:rPr>
        <w:t>Highlights (in constant currencies):</w:t>
      </w:r>
    </w:p>
    <w:p w:rsidR="00071D62" w:rsidRPr="00791B66" w:rsidRDefault="00071D62" w:rsidP="000537E2">
      <w:pPr>
        <w:jc w:val="left"/>
        <w:rPr>
          <w:rFonts w:ascii="Arial" w:hAnsi="Arial" w:cs="Arial"/>
          <w:b/>
          <w:bCs/>
          <w:sz w:val="24"/>
          <w:szCs w:val="24"/>
          <w:u w:val="single"/>
        </w:rPr>
      </w:pPr>
    </w:p>
    <w:p w:rsidR="00071D62" w:rsidRPr="00601BCE" w:rsidRDefault="00071D62" w:rsidP="0000154D">
      <w:pPr>
        <w:numPr>
          <w:ilvl w:val="0"/>
          <w:numId w:val="1"/>
        </w:numPr>
        <w:jc w:val="left"/>
        <w:rPr>
          <w:rFonts w:ascii="Arial" w:hAnsi="Arial" w:cs="Arial"/>
          <w:sz w:val="24"/>
          <w:szCs w:val="24"/>
        </w:rPr>
      </w:pPr>
      <w:r w:rsidRPr="00601BCE">
        <w:rPr>
          <w:rFonts w:ascii="Arial" w:hAnsi="Arial" w:cs="Arial"/>
          <w:sz w:val="24"/>
          <w:szCs w:val="24"/>
        </w:rPr>
        <w:t>Self-help initiatives d</w:t>
      </w:r>
      <w:r>
        <w:rPr>
          <w:rFonts w:ascii="Arial" w:hAnsi="Arial" w:cs="Arial"/>
          <w:sz w:val="24"/>
          <w:szCs w:val="24"/>
        </w:rPr>
        <w:t xml:space="preserve">rove strong </w:t>
      </w:r>
      <w:r w:rsidRPr="00601BCE">
        <w:rPr>
          <w:rFonts w:ascii="Arial" w:hAnsi="Arial" w:cs="Arial"/>
          <w:sz w:val="24"/>
          <w:szCs w:val="24"/>
        </w:rPr>
        <w:t xml:space="preserve">growth </w:t>
      </w:r>
      <w:r>
        <w:rPr>
          <w:rFonts w:ascii="Arial" w:hAnsi="Arial" w:cs="Arial"/>
          <w:sz w:val="24"/>
          <w:szCs w:val="24"/>
        </w:rPr>
        <w:t xml:space="preserve">in each of the three main operating divisions </w:t>
      </w:r>
      <w:r w:rsidRPr="00601BCE">
        <w:rPr>
          <w:rFonts w:ascii="Arial" w:hAnsi="Arial" w:cs="Arial"/>
          <w:sz w:val="24"/>
          <w:szCs w:val="24"/>
        </w:rPr>
        <w:t xml:space="preserve">in </w:t>
      </w:r>
      <w:r>
        <w:rPr>
          <w:rFonts w:ascii="Arial" w:hAnsi="Arial" w:cs="Arial"/>
          <w:sz w:val="24"/>
          <w:szCs w:val="24"/>
        </w:rPr>
        <w:t>challenging consumer markets:</w:t>
      </w:r>
    </w:p>
    <w:p w:rsidR="00071D62" w:rsidRPr="00791B66" w:rsidRDefault="00071D62" w:rsidP="0000154D">
      <w:pPr>
        <w:numPr>
          <w:ilvl w:val="1"/>
          <w:numId w:val="1"/>
        </w:numPr>
        <w:jc w:val="left"/>
        <w:rPr>
          <w:rFonts w:ascii="Arial" w:hAnsi="Arial" w:cs="Arial"/>
          <w:sz w:val="24"/>
          <w:szCs w:val="24"/>
        </w:rPr>
      </w:pPr>
      <w:r w:rsidRPr="00791B66">
        <w:rPr>
          <w:rFonts w:ascii="Arial" w:hAnsi="Arial" w:cs="Arial"/>
          <w:sz w:val="24"/>
          <w:szCs w:val="24"/>
        </w:rPr>
        <w:t>French</w:t>
      </w:r>
      <w:r>
        <w:rPr>
          <w:rFonts w:ascii="Arial" w:hAnsi="Arial" w:cs="Arial"/>
          <w:sz w:val="24"/>
          <w:szCs w:val="24"/>
        </w:rPr>
        <w:t xml:space="preserve"> retail</w:t>
      </w:r>
      <w:r w:rsidRPr="00791B66">
        <w:rPr>
          <w:rFonts w:ascii="Arial" w:hAnsi="Arial" w:cs="Arial"/>
          <w:sz w:val="24"/>
          <w:szCs w:val="24"/>
        </w:rPr>
        <w:t xml:space="preserve"> profits </w:t>
      </w:r>
      <w:r>
        <w:rPr>
          <w:rFonts w:ascii="Arial" w:hAnsi="Arial" w:cs="Arial"/>
          <w:sz w:val="24"/>
          <w:szCs w:val="24"/>
        </w:rPr>
        <w:t>up 23.9% to £201</w:t>
      </w:r>
      <w:r w:rsidRPr="00791B66">
        <w:rPr>
          <w:rFonts w:ascii="Arial" w:hAnsi="Arial" w:cs="Arial"/>
          <w:sz w:val="24"/>
          <w:szCs w:val="24"/>
        </w:rPr>
        <w:t xml:space="preserve"> million </w:t>
      </w:r>
      <w:r>
        <w:rPr>
          <w:rFonts w:ascii="Arial" w:hAnsi="Arial" w:cs="Arial"/>
          <w:sz w:val="24"/>
          <w:szCs w:val="24"/>
        </w:rPr>
        <w:t xml:space="preserve">driven by excellent </w:t>
      </w:r>
      <w:r w:rsidRPr="00791B66">
        <w:rPr>
          <w:rFonts w:ascii="Arial" w:hAnsi="Arial" w:cs="Arial"/>
          <w:sz w:val="24"/>
          <w:szCs w:val="24"/>
        </w:rPr>
        <w:t>sales growth</w:t>
      </w:r>
      <w:r>
        <w:rPr>
          <w:rFonts w:ascii="Arial" w:hAnsi="Arial" w:cs="Arial"/>
          <w:sz w:val="24"/>
          <w:szCs w:val="24"/>
        </w:rPr>
        <w:t xml:space="preserve"> (+4.5% LFL) </w:t>
      </w:r>
      <w:r w:rsidRPr="00791B66">
        <w:rPr>
          <w:rFonts w:ascii="Arial" w:hAnsi="Arial" w:cs="Arial"/>
          <w:sz w:val="24"/>
          <w:szCs w:val="24"/>
        </w:rPr>
        <w:t>and continuing margin initiatives</w:t>
      </w:r>
    </w:p>
    <w:p w:rsidR="00071D62" w:rsidRPr="00791B66" w:rsidRDefault="00071D62" w:rsidP="0000154D">
      <w:pPr>
        <w:numPr>
          <w:ilvl w:val="1"/>
          <w:numId w:val="1"/>
        </w:numPr>
        <w:jc w:val="left"/>
        <w:rPr>
          <w:rFonts w:ascii="Arial" w:hAnsi="Arial" w:cs="Arial"/>
          <w:sz w:val="24"/>
          <w:szCs w:val="24"/>
        </w:rPr>
      </w:pPr>
      <w:smartTag w:uri="urn:schemas-microsoft-com:office:smarttags" w:element="country-region">
        <w:r w:rsidRPr="00791B66">
          <w:rPr>
            <w:rFonts w:ascii="Arial" w:hAnsi="Arial" w:cs="Arial"/>
            <w:sz w:val="24"/>
            <w:szCs w:val="24"/>
          </w:rPr>
          <w:t>UK</w:t>
        </w:r>
      </w:smartTag>
      <w:r w:rsidRPr="00791B66">
        <w:rPr>
          <w:rFonts w:ascii="Arial" w:hAnsi="Arial" w:cs="Arial"/>
          <w:sz w:val="24"/>
          <w:szCs w:val="24"/>
        </w:rPr>
        <w:t xml:space="preserve"> &amp; </w:t>
      </w:r>
      <w:smartTag w:uri="urn:schemas-microsoft-com:office:smarttags" w:element="place">
        <w:smartTag w:uri="urn:schemas-microsoft-com:office:smarttags" w:element="country-region">
          <w:r w:rsidRPr="00791B66">
            <w:rPr>
              <w:rFonts w:ascii="Arial" w:hAnsi="Arial" w:cs="Arial"/>
              <w:sz w:val="24"/>
              <w:szCs w:val="24"/>
            </w:rPr>
            <w:t>Ireland</w:t>
          </w:r>
        </w:smartTag>
      </w:smartTag>
      <w:r w:rsidRPr="00791B66">
        <w:rPr>
          <w:rFonts w:ascii="Arial" w:hAnsi="Arial" w:cs="Arial"/>
          <w:sz w:val="24"/>
          <w:szCs w:val="24"/>
        </w:rPr>
        <w:t xml:space="preserve"> </w:t>
      </w:r>
      <w:r>
        <w:rPr>
          <w:rFonts w:ascii="Arial" w:hAnsi="Arial" w:cs="Arial"/>
          <w:sz w:val="24"/>
          <w:szCs w:val="24"/>
        </w:rPr>
        <w:t xml:space="preserve">retail </w:t>
      </w:r>
      <w:r w:rsidRPr="00791B66">
        <w:rPr>
          <w:rFonts w:ascii="Arial" w:hAnsi="Arial" w:cs="Arial"/>
          <w:sz w:val="24"/>
          <w:szCs w:val="24"/>
        </w:rPr>
        <w:t xml:space="preserve">profits up </w:t>
      </w:r>
      <w:r>
        <w:rPr>
          <w:rFonts w:ascii="Arial" w:hAnsi="Arial" w:cs="Arial"/>
          <w:sz w:val="24"/>
          <w:szCs w:val="24"/>
        </w:rPr>
        <w:t>6.1</w:t>
      </w:r>
      <w:r w:rsidRPr="00791B66">
        <w:rPr>
          <w:rFonts w:ascii="Arial" w:hAnsi="Arial" w:cs="Arial"/>
          <w:sz w:val="24"/>
          <w:szCs w:val="24"/>
        </w:rPr>
        <w:t>%</w:t>
      </w:r>
      <w:r>
        <w:rPr>
          <w:rFonts w:ascii="Arial" w:hAnsi="Arial" w:cs="Arial"/>
          <w:sz w:val="24"/>
          <w:szCs w:val="24"/>
        </w:rPr>
        <w:t xml:space="preserve"> to £182</w:t>
      </w:r>
      <w:r w:rsidRPr="00791B66">
        <w:rPr>
          <w:rFonts w:ascii="Arial" w:hAnsi="Arial" w:cs="Arial"/>
          <w:sz w:val="24"/>
          <w:szCs w:val="24"/>
        </w:rPr>
        <w:t xml:space="preserve"> million</w:t>
      </w:r>
      <w:r>
        <w:rPr>
          <w:rFonts w:ascii="Arial" w:hAnsi="Arial" w:cs="Arial"/>
          <w:sz w:val="24"/>
          <w:szCs w:val="24"/>
        </w:rPr>
        <w:t xml:space="preserve"> </w:t>
      </w:r>
      <w:r w:rsidRPr="00791B66">
        <w:rPr>
          <w:rFonts w:ascii="Arial" w:hAnsi="Arial" w:cs="Arial"/>
          <w:sz w:val="24"/>
          <w:szCs w:val="24"/>
        </w:rPr>
        <w:t>benefi</w:t>
      </w:r>
      <w:r>
        <w:rPr>
          <w:rFonts w:ascii="Arial" w:hAnsi="Arial" w:cs="Arial"/>
          <w:sz w:val="24"/>
          <w:szCs w:val="24"/>
        </w:rPr>
        <w:t xml:space="preserve">ting </w:t>
      </w:r>
      <w:r w:rsidRPr="00791B66">
        <w:rPr>
          <w:rFonts w:ascii="Arial" w:hAnsi="Arial" w:cs="Arial"/>
          <w:sz w:val="24"/>
          <w:szCs w:val="24"/>
        </w:rPr>
        <w:t xml:space="preserve">from </w:t>
      </w:r>
      <w:r>
        <w:rPr>
          <w:rFonts w:ascii="Arial" w:hAnsi="Arial" w:cs="Arial"/>
          <w:sz w:val="24"/>
          <w:szCs w:val="24"/>
        </w:rPr>
        <w:t xml:space="preserve">ongoing sourcing </w:t>
      </w:r>
      <w:r w:rsidRPr="00791B66">
        <w:rPr>
          <w:rFonts w:ascii="Arial" w:hAnsi="Arial" w:cs="Arial"/>
          <w:sz w:val="24"/>
          <w:szCs w:val="24"/>
        </w:rPr>
        <w:t>and cost initiatives</w:t>
      </w:r>
      <w:r>
        <w:rPr>
          <w:rFonts w:ascii="Arial" w:hAnsi="Arial" w:cs="Arial"/>
          <w:sz w:val="24"/>
          <w:szCs w:val="24"/>
        </w:rPr>
        <w:t xml:space="preserve">. </w:t>
      </w:r>
      <w:r w:rsidRPr="00791B66">
        <w:rPr>
          <w:rFonts w:ascii="Arial" w:hAnsi="Arial" w:cs="Arial"/>
          <w:sz w:val="24"/>
          <w:szCs w:val="24"/>
        </w:rPr>
        <w:t xml:space="preserve">B&amp;Q profit </w:t>
      </w:r>
      <w:r>
        <w:rPr>
          <w:rFonts w:ascii="Arial" w:hAnsi="Arial" w:cs="Arial"/>
          <w:sz w:val="24"/>
          <w:szCs w:val="24"/>
        </w:rPr>
        <w:t>grew 4.5% despite the one off adverse impact of the Focus DIY stock clearance activity ahead of its closure. Screwfix profits up 25.3%, expansion to be accelerated in H2</w:t>
      </w:r>
    </w:p>
    <w:p w:rsidR="00071D62" w:rsidRDefault="00071D62" w:rsidP="0000154D">
      <w:pPr>
        <w:numPr>
          <w:ilvl w:val="1"/>
          <w:numId w:val="1"/>
        </w:numPr>
        <w:jc w:val="left"/>
        <w:rPr>
          <w:rFonts w:ascii="Arial" w:hAnsi="Arial" w:cs="Arial"/>
          <w:sz w:val="24"/>
          <w:szCs w:val="24"/>
        </w:rPr>
      </w:pPr>
      <w:r w:rsidRPr="00791B66">
        <w:rPr>
          <w:rFonts w:ascii="Arial" w:hAnsi="Arial" w:cs="Arial"/>
          <w:sz w:val="24"/>
          <w:szCs w:val="24"/>
        </w:rPr>
        <w:t xml:space="preserve">Other International </w:t>
      </w:r>
      <w:r>
        <w:rPr>
          <w:rFonts w:ascii="Arial" w:hAnsi="Arial" w:cs="Arial"/>
          <w:sz w:val="24"/>
          <w:szCs w:val="24"/>
        </w:rPr>
        <w:t xml:space="preserve">retail </w:t>
      </w:r>
      <w:r w:rsidRPr="00791B66">
        <w:rPr>
          <w:rFonts w:ascii="Arial" w:hAnsi="Arial" w:cs="Arial"/>
          <w:sz w:val="24"/>
          <w:szCs w:val="24"/>
        </w:rPr>
        <w:t xml:space="preserve">profits up </w:t>
      </w:r>
      <w:r>
        <w:rPr>
          <w:rFonts w:ascii="Arial" w:hAnsi="Arial" w:cs="Arial"/>
          <w:sz w:val="24"/>
          <w:szCs w:val="24"/>
        </w:rPr>
        <w:t>24.7</w:t>
      </w:r>
      <w:r w:rsidRPr="00791B66">
        <w:rPr>
          <w:rFonts w:ascii="Arial" w:hAnsi="Arial" w:cs="Arial"/>
          <w:sz w:val="24"/>
          <w:szCs w:val="24"/>
        </w:rPr>
        <w:t xml:space="preserve">% </w:t>
      </w:r>
      <w:r>
        <w:rPr>
          <w:rFonts w:ascii="Arial" w:hAnsi="Arial" w:cs="Arial"/>
          <w:sz w:val="24"/>
          <w:szCs w:val="24"/>
        </w:rPr>
        <w:t>to £90</w:t>
      </w:r>
      <w:r w:rsidRPr="00791B66">
        <w:rPr>
          <w:rFonts w:ascii="Arial" w:hAnsi="Arial" w:cs="Arial"/>
          <w:sz w:val="24"/>
          <w:szCs w:val="24"/>
        </w:rPr>
        <w:t xml:space="preserve"> million</w:t>
      </w:r>
      <w:r>
        <w:rPr>
          <w:rFonts w:ascii="Arial" w:hAnsi="Arial" w:cs="Arial"/>
          <w:sz w:val="24"/>
          <w:szCs w:val="24"/>
        </w:rPr>
        <w:t xml:space="preserve"> driven by good profit growth in </w:t>
      </w:r>
      <w:smartTag w:uri="urn:schemas-microsoft-com:office:smarttags" w:element="country-region">
        <w:r>
          <w:rPr>
            <w:rFonts w:ascii="Arial" w:hAnsi="Arial" w:cs="Arial"/>
            <w:sz w:val="24"/>
            <w:szCs w:val="24"/>
          </w:rPr>
          <w:t>Poland</w:t>
        </w:r>
      </w:smartTag>
      <w:r>
        <w:rPr>
          <w:rFonts w:ascii="Arial" w:hAnsi="Arial" w:cs="Arial"/>
          <w:sz w:val="24"/>
          <w:szCs w:val="24"/>
        </w:rPr>
        <w:t xml:space="preserve">, </w:t>
      </w:r>
      <w:smartTag w:uri="urn:schemas-microsoft-com:office:smarttags" w:element="country-region">
        <w:r>
          <w:rPr>
            <w:rFonts w:ascii="Arial" w:hAnsi="Arial" w:cs="Arial"/>
            <w:sz w:val="24"/>
            <w:szCs w:val="24"/>
          </w:rPr>
          <w:t>Spain</w:t>
        </w:r>
      </w:smartTag>
      <w:r>
        <w:rPr>
          <w:rFonts w:ascii="Arial" w:hAnsi="Arial" w:cs="Arial"/>
          <w:sz w:val="24"/>
          <w:szCs w:val="24"/>
        </w:rPr>
        <w:t xml:space="preserve">, </w:t>
      </w:r>
      <w:smartTag w:uri="urn:schemas-microsoft-com:office:smarttags" w:element="country-region">
        <w:r>
          <w:rPr>
            <w:rFonts w:ascii="Arial" w:hAnsi="Arial" w:cs="Arial"/>
            <w:sz w:val="24"/>
            <w:szCs w:val="24"/>
          </w:rPr>
          <w:t>Turkey</w:t>
        </w:r>
      </w:smartTag>
      <w:r>
        <w:rPr>
          <w:rFonts w:ascii="Arial" w:hAnsi="Arial" w:cs="Arial"/>
          <w:sz w:val="24"/>
          <w:szCs w:val="24"/>
        </w:rPr>
        <w:t xml:space="preserve"> and </w:t>
      </w:r>
      <w:smartTag w:uri="urn:schemas-microsoft-com:office:smarttags" w:element="country-region">
        <w:r>
          <w:rPr>
            <w:rFonts w:ascii="Arial" w:hAnsi="Arial" w:cs="Arial"/>
            <w:sz w:val="24"/>
            <w:szCs w:val="24"/>
          </w:rPr>
          <w:t>Germany</w:t>
        </w:r>
      </w:smartTag>
      <w:r>
        <w:rPr>
          <w:rFonts w:ascii="Arial" w:hAnsi="Arial" w:cs="Arial"/>
          <w:sz w:val="24"/>
          <w:szCs w:val="24"/>
        </w:rPr>
        <w:t xml:space="preserve"> and lower losses in </w:t>
      </w:r>
      <w:smartTag w:uri="urn:schemas-microsoft-com:office:smarttags" w:element="country-region">
        <w:r>
          <w:rPr>
            <w:rFonts w:ascii="Arial" w:hAnsi="Arial" w:cs="Arial"/>
            <w:sz w:val="24"/>
            <w:szCs w:val="24"/>
          </w:rPr>
          <w:t>Russia</w:t>
        </w:r>
      </w:smartTag>
      <w:r>
        <w:rPr>
          <w:rFonts w:ascii="Arial" w:hAnsi="Arial" w:cs="Arial"/>
          <w:sz w:val="24"/>
          <w:szCs w:val="24"/>
        </w:rPr>
        <w:t xml:space="preserve"> and </w:t>
      </w:r>
      <w:smartTag w:uri="urn:schemas-microsoft-com:office:smarttags" w:element="place">
        <w:smartTag w:uri="urn:schemas-microsoft-com:office:smarttags" w:element="country-region">
          <w:r>
            <w:rPr>
              <w:rFonts w:ascii="Arial" w:hAnsi="Arial" w:cs="Arial"/>
              <w:sz w:val="24"/>
              <w:szCs w:val="24"/>
            </w:rPr>
            <w:t>China</w:t>
          </w:r>
        </w:smartTag>
      </w:smartTag>
    </w:p>
    <w:p w:rsidR="00071D62" w:rsidRPr="008038FF" w:rsidRDefault="00071D62" w:rsidP="00224FE9">
      <w:pPr>
        <w:numPr>
          <w:ilvl w:val="0"/>
          <w:numId w:val="1"/>
        </w:numPr>
        <w:jc w:val="left"/>
        <w:rPr>
          <w:rFonts w:ascii="Arial" w:hAnsi="Arial" w:cs="Arial"/>
          <w:sz w:val="24"/>
          <w:szCs w:val="24"/>
        </w:rPr>
      </w:pPr>
      <w:r>
        <w:rPr>
          <w:rFonts w:ascii="Arial" w:hAnsi="Arial" w:cs="Arial"/>
          <w:sz w:val="24"/>
          <w:szCs w:val="24"/>
        </w:rPr>
        <w:t>Proactive use of balance sheet strength and flexibility:</w:t>
      </w:r>
    </w:p>
    <w:p w:rsidR="00071D62" w:rsidRPr="00104159" w:rsidRDefault="00071D62" w:rsidP="008038FF">
      <w:pPr>
        <w:numPr>
          <w:ilvl w:val="1"/>
          <w:numId w:val="1"/>
        </w:numPr>
        <w:jc w:val="left"/>
        <w:rPr>
          <w:rFonts w:ascii="Arial" w:hAnsi="Arial" w:cs="Arial"/>
          <w:sz w:val="24"/>
          <w:szCs w:val="24"/>
        </w:rPr>
      </w:pPr>
      <w:r>
        <w:rPr>
          <w:rFonts w:ascii="Arial" w:hAnsi="Arial" w:cs="Arial"/>
          <w:sz w:val="24"/>
          <w:szCs w:val="24"/>
        </w:rPr>
        <w:t>Invested £175 million developing our capabilities and growing our footprint</w:t>
      </w:r>
    </w:p>
    <w:p w:rsidR="00071D62" w:rsidRPr="00786FDF" w:rsidRDefault="00071D62" w:rsidP="00786FDF">
      <w:pPr>
        <w:numPr>
          <w:ilvl w:val="1"/>
          <w:numId w:val="1"/>
        </w:numPr>
        <w:jc w:val="left"/>
        <w:rPr>
          <w:rFonts w:ascii="Arial" w:hAnsi="Arial" w:cs="Arial"/>
          <w:sz w:val="24"/>
          <w:szCs w:val="24"/>
        </w:rPr>
      </w:pPr>
      <w:r>
        <w:rPr>
          <w:rFonts w:ascii="Arial" w:hAnsi="Arial" w:cs="Arial"/>
          <w:sz w:val="24"/>
          <w:szCs w:val="24"/>
        </w:rPr>
        <w:t>Acquired 29 ex-Focus DIY stores for conversion to the B&amp;Q format (£24 million)</w:t>
      </w:r>
    </w:p>
    <w:p w:rsidR="00071D62" w:rsidRPr="00791B66" w:rsidRDefault="00071D62" w:rsidP="00786FDF">
      <w:pPr>
        <w:numPr>
          <w:ilvl w:val="1"/>
          <w:numId w:val="1"/>
        </w:numPr>
        <w:jc w:val="left"/>
        <w:rPr>
          <w:rFonts w:ascii="Arial" w:hAnsi="Arial" w:cs="Arial"/>
          <w:sz w:val="24"/>
          <w:szCs w:val="24"/>
        </w:rPr>
      </w:pPr>
      <w:r>
        <w:rPr>
          <w:rFonts w:ascii="Arial" w:hAnsi="Arial" w:cs="Arial"/>
          <w:sz w:val="24"/>
          <w:szCs w:val="24"/>
        </w:rPr>
        <w:t>Bought the freehold in two existing leased B&amp;Q stores and a new distribution centre (£64 million, saving £5 million of annual rent)</w:t>
      </w:r>
    </w:p>
    <w:p w:rsidR="00071D62" w:rsidRPr="001414FB" w:rsidRDefault="00071D62" w:rsidP="004F4426">
      <w:pPr>
        <w:numPr>
          <w:ilvl w:val="1"/>
          <w:numId w:val="1"/>
        </w:numPr>
        <w:jc w:val="left"/>
        <w:rPr>
          <w:rFonts w:ascii="Arial" w:hAnsi="Arial" w:cs="Arial"/>
          <w:sz w:val="24"/>
          <w:szCs w:val="24"/>
        </w:rPr>
      </w:pPr>
      <w:r>
        <w:rPr>
          <w:rFonts w:ascii="Arial" w:hAnsi="Arial" w:cs="Arial"/>
          <w:sz w:val="24"/>
          <w:szCs w:val="24"/>
        </w:rPr>
        <w:t>42 million Kingfisher shares purchased by employee share trust to match existing share incentive schemes, avoiding dilution of shareholder interests when the schemes mature (£117 million)</w:t>
      </w:r>
    </w:p>
    <w:p w:rsidR="00071D62" w:rsidRPr="00472924" w:rsidRDefault="00071D62" w:rsidP="00B52DAF">
      <w:pPr>
        <w:numPr>
          <w:ilvl w:val="0"/>
          <w:numId w:val="1"/>
        </w:numPr>
        <w:jc w:val="left"/>
        <w:rPr>
          <w:rFonts w:ascii="Arial" w:hAnsi="Arial" w:cs="Arial"/>
          <w:sz w:val="24"/>
          <w:szCs w:val="24"/>
        </w:rPr>
      </w:pPr>
      <w:r w:rsidRPr="00BD216A">
        <w:rPr>
          <w:rFonts w:ascii="Arial" w:hAnsi="Arial" w:cs="Arial"/>
          <w:sz w:val="24"/>
          <w:szCs w:val="24"/>
        </w:rPr>
        <w:t>Interim dividend up 28</w:t>
      </w:r>
      <w:r>
        <w:rPr>
          <w:rFonts w:ascii="Arial" w:hAnsi="Arial" w:cs="Arial"/>
          <w:sz w:val="24"/>
          <w:szCs w:val="24"/>
        </w:rPr>
        <w:t>.3</w:t>
      </w:r>
      <w:r w:rsidRPr="00BD216A">
        <w:rPr>
          <w:rFonts w:ascii="Arial" w:hAnsi="Arial" w:cs="Arial"/>
          <w:sz w:val="24"/>
          <w:szCs w:val="24"/>
        </w:rPr>
        <w:t>%</w:t>
      </w:r>
      <w:r>
        <w:rPr>
          <w:rFonts w:ascii="Arial" w:hAnsi="Arial" w:cs="Arial"/>
          <w:sz w:val="24"/>
          <w:szCs w:val="24"/>
        </w:rPr>
        <w:t xml:space="preserve">, </w:t>
      </w:r>
      <w:r w:rsidRPr="00BD216A">
        <w:rPr>
          <w:rFonts w:ascii="Arial" w:hAnsi="Arial" w:cs="Arial"/>
          <w:sz w:val="24"/>
          <w:szCs w:val="24"/>
        </w:rPr>
        <w:t xml:space="preserve">automatically calculated as </w:t>
      </w:r>
      <w:r>
        <w:rPr>
          <w:rFonts w:ascii="Arial" w:hAnsi="Arial" w:cs="Arial"/>
          <w:sz w:val="24"/>
          <w:szCs w:val="24"/>
        </w:rPr>
        <w:t xml:space="preserve">a fixed percentage </w:t>
      </w:r>
      <w:r w:rsidRPr="00BD216A">
        <w:rPr>
          <w:rFonts w:ascii="Arial" w:hAnsi="Arial" w:cs="Arial"/>
          <w:sz w:val="24"/>
          <w:szCs w:val="24"/>
        </w:rPr>
        <w:t>of the prior year’s total dividend</w:t>
      </w:r>
      <w:r>
        <w:rPr>
          <w:rFonts w:ascii="Arial" w:hAnsi="Arial" w:cs="Arial"/>
          <w:sz w:val="24"/>
          <w:szCs w:val="24"/>
        </w:rPr>
        <w:t xml:space="preserve"> in line with stated policy</w:t>
      </w:r>
    </w:p>
    <w:p w:rsidR="00071D62" w:rsidRDefault="00071D62" w:rsidP="00104159">
      <w:pPr>
        <w:jc w:val="left"/>
        <w:rPr>
          <w:rFonts w:ascii="Arial" w:hAnsi="Arial" w:cs="Arial"/>
          <w:sz w:val="24"/>
          <w:szCs w:val="24"/>
        </w:rPr>
      </w:pPr>
    </w:p>
    <w:p w:rsidR="00071D62" w:rsidRPr="00C2445E" w:rsidRDefault="00071D62" w:rsidP="006851BD">
      <w:pPr>
        <w:jc w:val="left"/>
        <w:rPr>
          <w:rFonts w:ascii="Arial" w:hAnsi="Arial" w:cs="Arial"/>
          <w:i/>
          <w:iCs/>
          <w:sz w:val="18"/>
          <w:szCs w:val="18"/>
        </w:rPr>
      </w:pPr>
    </w:p>
    <w:tbl>
      <w:tblPr>
        <w:tblW w:w="4839" w:type="pct"/>
        <w:tblInd w:w="-106" w:type="dxa"/>
        <w:tblBorders>
          <w:top w:val="single" w:sz="4" w:space="0" w:color="auto"/>
          <w:bottom w:val="single" w:sz="4" w:space="0" w:color="auto"/>
          <w:insideH w:val="single" w:sz="4" w:space="0" w:color="auto"/>
        </w:tblBorders>
        <w:tblLook w:val="01E0"/>
      </w:tblPr>
      <w:tblGrid>
        <w:gridCol w:w="4320"/>
        <w:gridCol w:w="1624"/>
        <w:gridCol w:w="1255"/>
        <w:gridCol w:w="2341"/>
      </w:tblGrid>
      <w:tr w:rsidR="00071D62" w:rsidRPr="00791B66">
        <w:trPr>
          <w:trHeight w:val="284"/>
        </w:trPr>
        <w:tc>
          <w:tcPr>
            <w:tcW w:w="2264" w:type="pct"/>
            <w:tcBorders>
              <w:top w:val="nil"/>
            </w:tcBorders>
          </w:tcPr>
          <w:p w:rsidR="00071D62" w:rsidRPr="004824BB" w:rsidRDefault="00071D62" w:rsidP="00701EEA">
            <w:pPr>
              <w:jc w:val="left"/>
              <w:rPr>
                <w:rFonts w:ascii="Arial" w:hAnsi="Arial" w:cs="Arial"/>
                <w:b/>
                <w:bCs/>
                <w:sz w:val="24"/>
                <w:szCs w:val="24"/>
                <w:u w:val="single"/>
              </w:rPr>
            </w:pPr>
            <w:r w:rsidRPr="00791B66">
              <w:rPr>
                <w:rFonts w:ascii="Arial" w:hAnsi="Arial" w:cs="Arial"/>
                <w:b/>
                <w:bCs/>
                <w:sz w:val="24"/>
                <w:szCs w:val="24"/>
                <w:u w:val="single"/>
              </w:rPr>
              <w:t>Statutory reporting</w:t>
            </w:r>
          </w:p>
        </w:tc>
        <w:tc>
          <w:tcPr>
            <w:tcW w:w="851" w:type="pct"/>
            <w:tcBorders>
              <w:top w:val="nil"/>
            </w:tcBorders>
          </w:tcPr>
          <w:p w:rsidR="00071D62" w:rsidRPr="00791B66" w:rsidRDefault="00071D62" w:rsidP="00F979C4">
            <w:pPr>
              <w:jc w:val="right"/>
              <w:rPr>
                <w:rFonts w:ascii="Arial" w:hAnsi="Arial" w:cs="Arial"/>
                <w:sz w:val="24"/>
                <w:szCs w:val="24"/>
              </w:rPr>
            </w:pPr>
            <w:r w:rsidRPr="00791B66">
              <w:rPr>
                <w:rFonts w:ascii="Arial" w:hAnsi="Arial" w:cs="Arial"/>
                <w:b/>
                <w:bCs/>
                <w:sz w:val="24"/>
                <w:szCs w:val="24"/>
              </w:rPr>
              <w:t>201</w:t>
            </w:r>
            <w:r>
              <w:rPr>
                <w:rFonts w:ascii="Arial" w:hAnsi="Arial" w:cs="Arial"/>
                <w:b/>
                <w:bCs/>
                <w:sz w:val="24"/>
                <w:szCs w:val="24"/>
              </w:rPr>
              <w:t>1</w:t>
            </w:r>
            <w:r w:rsidRPr="00791B66">
              <w:rPr>
                <w:rFonts w:ascii="Arial" w:hAnsi="Arial" w:cs="Arial"/>
                <w:b/>
                <w:bCs/>
                <w:sz w:val="24"/>
                <w:szCs w:val="24"/>
              </w:rPr>
              <w:t>/1</w:t>
            </w:r>
            <w:r>
              <w:rPr>
                <w:rFonts w:ascii="Arial" w:hAnsi="Arial" w:cs="Arial"/>
                <w:b/>
                <w:bCs/>
                <w:sz w:val="24"/>
                <w:szCs w:val="24"/>
              </w:rPr>
              <w:t>2</w:t>
            </w:r>
          </w:p>
        </w:tc>
        <w:tc>
          <w:tcPr>
            <w:tcW w:w="658" w:type="pct"/>
            <w:tcBorders>
              <w:top w:val="nil"/>
            </w:tcBorders>
          </w:tcPr>
          <w:p w:rsidR="00071D62" w:rsidRPr="00791B66" w:rsidRDefault="00071D62" w:rsidP="00F979C4">
            <w:pPr>
              <w:jc w:val="right"/>
              <w:rPr>
                <w:rFonts w:ascii="Arial" w:hAnsi="Arial" w:cs="Arial"/>
                <w:sz w:val="24"/>
                <w:szCs w:val="24"/>
              </w:rPr>
            </w:pPr>
            <w:r w:rsidRPr="00791B66">
              <w:rPr>
                <w:rFonts w:ascii="Arial" w:hAnsi="Arial" w:cs="Arial"/>
                <w:b/>
                <w:bCs/>
                <w:sz w:val="24"/>
                <w:szCs w:val="24"/>
              </w:rPr>
              <w:t>20</w:t>
            </w:r>
            <w:r>
              <w:rPr>
                <w:rFonts w:ascii="Arial" w:hAnsi="Arial" w:cs="Arial"/>
                <w:b/>
                <w:bCs/>
                <w:sz w:val="24"/>
                <w:szCs w:val="24"/>
              </w:rPr>
              <w:t>10</w:t>
            </w:r>
            <w:r w:rsidRPr="00791B66">
              <w:rPr>
                <w:rFonts w:ascii="Arial" w:hAnsi="Arial" w:cs="Arial"/>
                <w:b/>
                <w:bCs/>
                <w:sz w:val="24"/>
                <w:szCs w:val="24"/>
              </w:rPr>
              <w:t>/1</w:t>
            </w:r>
            <w:r>
              <w:rPr>
                <w:rFonts w:ascii="Arial" w:hAnsi="Arial" w:cs="Arial"/>
                <w:b/>
                <w:bCs/>
                <w:sz w:val="24"/>
                <w:szCs w:val="24"/>
              </w:rPr>
              <w:t>1</w:t>
            </w:r>
          </w:p>
        </w:tc>
        <w:tc>
          <w:tcPr>
            <w:tcW w:w="1227" w:type="pct"/>
            <w:tcBorders>
              <w:top w:val="nil"/>
            </w:tcBorders>
          </w:tcPr>
          <w:p w:rsidR="00071D62" w:rsidRPr="00791B66" w:rsidRDefault="00071D62" w:rsidP="00F979C4">
            <w:pPr>
              <w:jc w:val="right"/>
              <w:rPr>
                <w:rFonts w:ascii="Arial" w:hAnsi="Arial" w:cs="Arial"/>
                <w:sz w:val="24"/>
                <w:szCs w:val="24"/>
              </w:rPr>
            </w:pPr>
            <w:r w:rsidRPr="00791B66">
              <w:rPr>
                <w:rFonts w:ascii="Arial" w:hAnsi="Arial" w:cs="Arial"/>
                <w:b/>
                <w:bCs/>
                <w:sz w:val="24"/>
                <w:szCs w:val="24"/>
              </w:rPr>
              <w:t>Reported Change</w:t>
            </w:r>
          </w:p>
        </w:tc>
      </w:tr>
      <w:tr w:rsidR="00071D62" w:rsidRPr="00791B66">
        <w:tc>
          <w:tcPr>
            <w:tcW w:w="2264" w:type="pct"/>
            <w:tcBorders>
              <w:top w:val="nil"/>
              <w:bottom w:val="nil"/>
            </w:tcBorders>
          </w:tcPr>
          <w:p w:rsidR="00071D62" w:rsidRPr="00791B66" w:rsidRDefault="00071D62" w:rsidP="00701EEA">
            <w:pPr>
              <w:jc w:val="left"/>
              <w:rPr>
                <w:rFonts w:ascii="Arial" w:hAnsi="Arial" w:cs="Arial"/>
                <w:sz w:val="24"/>
                <w:szCs w:val="24"/>
                <w:highlight w:val="yellow"/>
              </w:rPr>
            </w:pPr>
            <w:r w:rsidRPr="00791B66">
              <w:rPr>
                <w:rFonts w:ascii="Arial" w:hAnsi="Arial" w:cs="Arial"/>
                <w:sz w:val="24"/>
                <w:szCs w:val="24"/>
              </w:rPr>
              <w:t xml:space="preserve">Profit before taxation  </w:t>
            </w:r>
          </w:p>
        </w:tc>
        <w:tc>
          <w:tcPr>
            <w:tcW w:w="851" w:type="pct"/>
            <w:tcBorders>
              <w:top w:val="nil"/>
              <w:bottom w:val="nil"/>
            </w:tcBorders>
          </w:tcPr>
          <w:p w:rsidR="00071D62" w:rsidRPr="00791B66" w:rsidRDefault="00071D62" w:rsidP="00F979C4">
            <w:pPr>
              <w:jc w:val="right"/>
              <w:rPr>
                <w:rFonts w:ascii="Arial" w:hAnsi="Arial" w:cs="Arial"/>
                <w:sz w:val="24"/>
                <w:szCs w:val="24"/>
              </w:rPr>
            </w:pPr>
            <w:r>
              <w:rPr>
                <w:rFonts w:ascii="Arial" w:hAnsi="Arial" w:cs="Arial"/>
                <w:sz w:val="24"/>
                <w:szCs w:val="24"/>
              </w:rPr>
              <w:t>£438m</w:t>
            </w:r>
          </w:p>
        </w:tc>
        <w:tc>
          <w:tcPr>
            <w:tcW w:w="658" w:type="pct"/>
            <w:tcBorders>
              <w:top w:val="nil"/>
              <w:bottom w:val="nil"/>
            </w:tcBorders>
          </w:tcPr>
          <w:p w:rsidR="00071D62" w:rsidRPr="00791B66" w:rsidRDefault="00071D62" w:rsidP="00F979C4">
            <w:pPr>
              <w:jc w:val="right"/>
              <w:rPr>
                <w:rFonts w:ascii="Arial" w:hAnsi="Arial" w:cs="Arial"/>
                <w:sz w:val="24"/>
                <w:szCs w:val="24"/>
              </w:rPr>
            </w:pPr>
            <w:r>
              <w:rPr>
                <w:rFonts w:ascii="Arial" w:hAnsi="Arial" w:cs="Arial"/>
                <w:sz w:val="24"/>
                <w:szCs w:val="24"/>
              </w:rPr>
              <w:t>£351m</w:t>
            </w:r>
          </w:p>
        </w:tc>
        <w:tc>
          <w:tcPr>
            <w:tcW w:w="1227" w:type="pct"/>
            <w:tcBorders>
              <w:top w:val="nil"/>
              <w:bottom w:val="nil"/>
            </w:tcBorders>
          </w:tcPr>
          <w:p w:rsidR="00071D62" w:rsidRPr="00791B66" w:rsidRDefault="00071D62" w:rsidP="00F979C4">
            <w:pPr>
              <w:jc w:val="right"/>
              <w:rPr>
                <w:rFonts w:ascii="Arial" w:hAnsi="Arial" w:cs="Arial"/>
                <w:sz w:val="24"/>
                <w:szCs w:val="24"/>
              </w:rPr>
            </w:pPr>
            <w:r>
              <w:rPr>
                <w:rFonts w:ascii="Arial" w:hAnsi="Arial" w:cs="Arial"/>
                <w:sz w:val="24"/>
                <w:szCs w:val="24"/>
              </w:rPr>
              <w:t>+24.8%</w:t>
            </w:r>
          </w:p>
        </w:tc>
      </w:tr>
      <w:tr w:rsidR="00071D62" w:rsidRPr="00791B66">
        <w:tc>
          <w:tcPr>
            <w:tcW w:w="2264" w:type="pct"/>
            <w:tcBorders>
              <w:top w:val="nil"/>
              <w:bottom w:val="nil"/>
            </w:tcBorders>
          </w:tcPr>
          <w:p w:rsidR="00071D62" w:rsidRPr="00791B66" w:rsidRDefault="00071D62" w:rsidP="00701EEA">
            <w:pPr>
              <w:jc w:val="left"/>
              <w:rPr>
                <w:rFonts w:ascii="Arial" w:hAnsi="Arial" w:cs="Arial"/>
                <w:sz w:val="24"/>
                <w:szCs w:val="24"/>
                <w:highlight w:val="yellow"/>
              </w:rPr>
            </w:pPr>
            <w:r w:rsidRPr="00791B66">
              <w:rPr>
                <w:rFonts w:ascii="Arial" w:hAnsi="Arial" w:cs="Arial"/>
                <w:sz w:val="24"/>
                <w:szCs w:val="24"/>
              </w:rPr>
              <w:t xml:space="preserve">Profit for the </w:t>
            </w:r>
            <w:r>
              <w:rPr>
                <w:rFonts w:ascii="Arial" w:hAnsi="Arial" w:cs="Arial"/>
                <w:sz w:val="24"/>
                <w:szCs w:val="24"/>
              </w:rPr>
              <w:t>period</w:t>
            </w:r>
          </w:p>
        </w:tc>
        <w:tc>
          <w:tcPr>
            <w:tcW w:w="851" w:type="pct"/>
            <w:tcBorders>
              <w:top w:val="nil"/>
              <w:bottom w:val="nil"/>
            </w:tcBorders>
          </w:tcPr>
          <w:p w:rsidR="00071D62" w:rsidRPr="00791B66" w:rsidRDefault="00071D62" w:rsidP="00F979C4">
            <w:pPr>
              <w:jc w:val="right"/>
              <w:rPr>
                <w:rFonts w:ascii="Arial" w:hAnsi="Arial" w:cs="Arial"/>
                <w:sz w:val="24"/>
                <w:szCs w:val="24"/>
              </w:rPr>
            </w:pPr>
            <w:r>
              <w:rPr>
                <w:rFonts w:ascii="Arial" w:hAnsi="Arial" w:cs="Arial"/>
                <w:sz w:val="24"/>
                <w:szCs w:val="24"/>
              </w:rPr>
              <w:t>£320m</w:t>
            </w:r>
          </w:p>
        </w:tc>
        <w:tc>
          <w:tcPr>
            <w:tcW w:w="658" w:type="pct"/>
            <w:tcBorders>
              <w:top w:val="nil"/>
              <w:bottom w:val="nil"/>
            </w:tcBorders>
          </w:tcPr>
          <w:p w:rsidR="00071D62" w:rsidRPr="00791B66" w:rsidRDefault="00071D62" w:rsidP="00F979C4">
            <w:pPr>
              <w:jc w:val="right"/>
              <w:rPr>
                <w:rFonts w:ascii="Arial" w:hAnsi="Arial" w:cs="Arial"/>
                <w:sz w:val="24"/>
                <w:szCs w:val="24"/>
              </w:rPr>
            </w:pPr>
            <w:r>
              <w:rPr>
                <w:rFonts w:ascii="Arial" w:hAnsi="Arial" w:cs="Arial"/>
                <w:sz w:val="24"/>
                <w:szCs w:val="24"/>
              </w:rPr>
              <w:t>£248m</w:t>
            </w:r>
          </w:p>
        </w:tc>
        <w:tc>
          <w:tcPr>
            <w:tcW w:w="1227" w:type="pct"/>
            <w:tcBorders>
              <w:top w:val="nil"/>
              <w:bottom w:val="nil"/>
            </w:tcBorders>
          </w:tcPr>
          <w:p w:rsidR="00071D62" w:rsidRPr="00791B66" w:rsidRDefault="00071D62" w:rsidP="00F979C4">
            <w:pPr>
              <w:jc w:val="right"/>
              <w:rPr>
                <w:rFonts w:ascii="Arial" w:hAnsi="Arial" w:cs="Arial"/>
                <w:sz w:val="24"/>
                <w:szCs w:val="24"/>
              </w:rPr>
            </w:pPr>
            <w:r>
              <w:rPr>
                <w:rFonts w:ascii="Arial" w:hAnsi="Arial" w:cs="Arial"/>
                <w:sz w:val="24"/>
                <w:szCs w:val="24"/>
              </w:rPr>
              <w:t>+29.0%</w:t>
            </w:r>
          </w:p>
        </w:tc>
      </w:tr>
      <w:tr w:rsidR="00071D62" w:rsidRPr="00791B66">
        <w:tc>
          <w:tcPr>
            <w:tcW w:w="2264" w:type="pct"/>
            <w:tcBorders>
              <w:top w:val="nil"/>
            </w:tcBorders>
          </w:tcPr>
          <w:p w:rsidR="00071D62" w:rsidRPr="00791B66" w:rsidRDefault="00071D62" w:rsidP="00701EEA">
            <w:pPr>
              <w:jc w:val="left"/>
              <w:rPr>
                <w:rFonts w:ascii="Arial" w:hAnsi="Arial" w:cs="Arial"/>
                <w:sz w:val="24"/>
                <w:szCs w:val="24"/>
              </w:rPr>
            </w:pPr>
            <w:r w:rsidRPr="00791B66">
              <w:rPr>
                <w:rFonts w:ascii="Arial" w:hAnsi="Arial" w:cs="Arial"/>
                <w:sz w:val="24"/>
                <w:szCs w:val="24"/>
              </w:rPr>
              <w:t xml:space="preserve">Basic EPS </w:t>
            </w:r>
          </w:p>
        </w:tc>
        <w:tc>
          <w:tcPr>
            <w:tcW w:w="851" w:type="pct"/>
            <w:tcBorders>
              <w:top w:val="nil"/>
            </w:tcBorders>
          </w:tcPr>
          <w:p w:rsidR="00071D62" w:rsidRPr="00791B66" w:rsidDel="00FF703B" w:rsidRDefault="00071D62" w:rsidP="00F979C4">
            <w:pPr>
              <w:jc w:val="right"/>
              <w:rPr>
                <w:rFonts w:ascii="Arial" w:hAnsi="Arial" w:cs="Arial"/>
                <w:sz w:val="24"/>
                <w:szCs w:val="24"/>
              </w:rPr>
            </w:pPr>
            <w:r>
              <w:rPr>
                <w:rFonts w:ascii="Arial" w:hAnsi="Arial" w:cs="Arial"/>
                <w:sz w:val="24"/>
                <w:szCs w:val="24"/>
              </w:rPr>
              <w:t>13.7p</w:t>
            </w:r>
          </w:p>
        </w:tc>
        <w:tc>
          <w:tcPr>
            <w:tcW w:w="658" w:type="pct"/>
            <w:tcBorders>
              <w:top w:val="nil"/>
            </w:tcBorders>
          </w:tcPr>
          <w:p w:rsidR="00071D62" w:rsidRPr="00791B66" w:rsidRDefault="00071D62" w:rsidP="00F979C4">
            <w:pPr>
              <w:jc w:val="right"/>
              <w:rPr>
                <w:rFonts w:ascii="Arial" w:hAnsi="Arial" w:cs="Arial"/>
                <w:sz w:val="24"/>
                <w:szCs w:val="24"/>
              </w:rPr>
            </w:pPr>
            <w:r>
              <w:rPr>
                <w:rFonts w:ascii="Arial" w:hAnsi="Arial" w:cs="Arial"/>
                <w:sz w:val="24"/>
                <w:szCs w:val="24"/>
              </w:rPr>
              <w:t>10.6p</w:t>
            </w:r>
          </w:p>
        </w:tc>
        <w:tc>
          <w:tcPr>
            <w:tcW w:w="1227" w:type="pct"/>
            <w:tcBorders>
              <w:top w:val="nil"/>
            </w:tcBorders>
          </w:tcPr>
          <w:p w:rsidR="00071D62" w:rsidRPr="00791B66" w:rsidRDefault="00071D62" w:rsidP="00F979C4">
            <w:pPr>
              <w:jc w:val="right"/>
              <w:rPr>
                <w:rFonts w:ascii="Arial" w:hAnsi="Arial" w:cs="Arial"/>
                <w:sz w:val="24"/>
                <w:szCs w:val="24"/>
              </w:rPr>
            </w:pPr>
            <w:r>
              <w:rPr>
                <w:rFonts w:ascii="Arial" w:hAnsi="Arial" w:cs="Arial"/>
                <w:sz w:val="24"/>
                <w:szCs w:val="24"/>
              </w:rPr>
              <w:t>+29.2%</w:t>
            </w:r>
          </w:p>
        </w:tc>
      </w:tr>
    </w:tbl>
    <w:p w:rsidR="00071D62" w:rsidRPr="002A79FF" w:rsidRDefault="00071D62" w:rsidP="0092647E">
      <w:pPr>
        <w:jc w:val="left"/>
        <w:rPr>
          <w:rFonts w:ascii="Arial" w:hAnsi="Arial" w:cs="Arial"/>
          <w:i/>
          <w:iCs/>
          <w:sz w:val="18"/>
          <w:szCs w:val="18"/>
        </w:rPr>
      </w:pPr>
      <w:r>
        <w:rPr>
          <w:rFonts w:ascii="Arial" w:hAnsi="Arial" w:cs="Arial"/>
          <w:i/>
          <w:iCs/>
          <w:sz w:val="18"/>
          <w:szCs w:val="18"/>
        </w:rPr>
        <w:t xml:space="preserve">Note: A reconciliation to adjusted measures above is set out in the Financial Review. </w:t>
      </w:r>
    </w:p>
    <w:p w:rsidR="00071D62" w:rsidRPr="00791B66" w:rsidRDefault="00071D62" w:rsidP="00B24372">
      <w:pPr>
        <w:rPr>
          <w:rFonts w:ascii="Arial" w:hAnsi="Arial" w:cs="Arial"/>
          <w:b/>
          <w:bCs/>
          <w:sz w:val="24"/>
          <w:szCs w:val="24"/>
        </w:rPr>
      </w:pPr>
      <w:r w:rsidRPr="00791B66">
        <w:rPr>
          <w:rFonts w:ascii="Arial" w:hAnsi="Arial" w:cs="Arial"/>
          <w:b/>
          <w:bCs/>
          <w:sz w:val="24"/>
          <w:szCs w:val="24"/>
        </w:rPr>
        <w:br w:type="page"/>
      </w:r>
      <w:r w:rsidRPr="00791B66">
        <w:rPr>
          <w:rFonts w:ascii="Arial" w:hAnsi="Arial" w:cs="Arial"/>
          <w:b/>
          <w:bCs/>
          <w:sz w:val="24"/>
          <w:szCs w:val="24"/>
        </w:rPr>
        <w:lastRenderedPageBreak/>
        <w:t>Ian Cheshire, Group Chief Executive, said:</w:t>
      </w:r>
    </w:p>
    <w:p w:rsidR="00071D62" w:rsidRPr="00791B66" w:rsidRDefault="00071D62" w:rsidP="00C85E85">
      <w:pPr>
        <w:jc w:val="left"/>
        <w:rPr>
          <w:rFonts w:ascii="Arial" w:hAnsi="Arial" w:cs="Arial"/>
          <w:sz w:val="24"/>
          <w:szCs w:val="24"/>
        </w:rPr>
      </w:pPr>
    </w:p>
    <w:p w:rsidR="00071D62" w:rsidRDefault="00071D62" w:rsidP="0082418E">
      <w:pPr>
        <w:jc w:val="left"/>
        <w:rPr>
          <w:rFonts w:ascii="Arial" w:hAnsi="Arial" w:cs="Arial"/>
          <w:sz w:val="24"/>
          <w:szCs w:val="24"/>
        </w:rPr>
      </w:pPr>
      <w:r>
        <w:rPr>
          <w:rFonts w:ascii="Arial" w:hAnsi="Arial" w:cs="Arial"/>
          <w:sz w:val="24"/>
          <w:szCs w:val="24"/>
        </w:rPr>
        <w:t xml:space="preserve">“We have delivered very strong profit growth in what are difficult times for all retailers. With around two thirds of our profit coming from outside the </w:t>
      </w:r>
      <w:smartTag w:uri="urn:schemas-microsoft-com:office:smarttags" w:element="place">
        <w:smartTag w:uri="urn:schemas-microsoft-com:office:smarttags" w:element="country-region">
          <w:r>
            <w:rPr>
              <w:rFonts w:ascii="Arial" w:hAnsi="Arial" w:cs="Arial"/>
              <w:sz w:val="24"/>
              <w:szCs w:val="24"/>
            </w:rPr>
            <w:t>UK</w:t>
          </w:r>
        </w:smartTag>
      </w:smartTag>
      <w:r>
        <w:rPr>
          <w:rFonts w:ascii="Arial" w:hAnsi="Arial" w:cs="Arial"/>
          <w:sz w:val="24"/>
          <w:szCs w:val="24"/>
        </w:rPr>
        <w:t xml:space="preserve">, these results clearly show the value of geographic spread and the benefits of operating our market leading international businesses in a more unified way. We delivered improvements right across the group including excellent sales and profit growth in </w:t>
      </w:r>
      <w:smartTag w:uri="urn:schemas-microsoft-com:office:smarttags" w:element="place">
        <w:smartTag w:uri="urn:schemas-microsoft-com:office:smarttags" w:element="country-region">
          <w:r>
            <w:rPr>
              <w:rFonts w:ascii="Arial" w:hAnsi="Arial" w:cs="Arial"/>
              <w:sz w:val="24"/>
              <w:szCs w:val="24"/>
            </w:rPr>
            <w:t>France</w:t>
          </w:r>
        </w:smartTag>
      </w:smartTag>
      <w:r>
        <w:rPr>
          <w:rFonts w:ascii="Arial" w:hAnsi="Arial" w:cs="Arial"/>
          <w:sz w:val="24"/>
          <w:szCs w:val="24"/>
        </w:rPr>
        <w:t>. Our concerted efforts over the last few years to strengthen our balance sheet are paying off dividends, reducing our financing costs and creating the flexibility to take opportunities as they arise, such as our purchase of 29 great new sites for B&amp;Q from the administrators of Focus DIY. We continued to progress with our successful ‘Delivering Value’ programme and work is well under way as we continue our transition to the next phase of our self-help growth plan, called ‘Creating the Leader’.</w:t>
      </w:r>
    </w:p>
    <w:p w:rsidR="00071D62" w:rsidRDefault="00071D62" w:rsidP="0082418E">
      <w:pPr>
        <w:jc w:val="left"/>
        <w:rPr>
          <w:rFonts w:ascii="Arial" w:hAnsi="Arial" w:cs="Arial"/>
          <w:sz w:val="24"/>
          <w:szCs w:val="24"/>
        </w:rPr>
      </w:pPr>
    </w:p>
    <w:p w:rsidR="00071D62" w:rsidRPr="004229D5" w:rsidRDefault="00071D62" w:rsidP="0082418E">
      <w:pPr>
        <w:jc w:val="left"/>
        <w:rPr>
          <w:rFonts w:ascii="Arial" w:hAnsi="Arial" w:cs="Arial"/>
          <w:sz w:val="24"/>
          <w:szCs w:val="24"/>
        </w:rPr>
      </w:pPr>
      <w:r>
        <w:rPr>
          <w:rFonts w:ascii="Arial" w:hAnsi="Arial" w:cs="Arial"/>
          <w:sz w:val="24"/>
          <w:szCs w:val="24"/>
        </w:rPr>
        <w:t xml:space="preserve">“Looking ahead, economic uncertainty throughout </w:t>
      </w:r>
      <w:smartTag w:uri="urn:schemas-microsoft-com:office:smarttags" w:element="place">
        <w:r>
          <w:rPr>
            <w:rFonts w:ascii="Arial" w:hAnsi="Arial" w:cs="Arial"/>
            <w:sz w:val="24"/>
            <w:szCs w:val="24"/>
          </w:rPr>
          <w:t>Europe</w:t>
        </w:r>
      </w:smartTag>
      <w:r>
        <w:rPr>
          <w:rFonts w:ascii="Arial" w:hAnsi="Arial" w:cs="Arial"/>
          <w:sz w:val="24"/>
          <w:szCs w:val="24"/>
        </w:rPr>
        <w:t xml:space="preserve"> is likely to impact consumer confidence, meaning conditions will remain challenging for retailers. However, our plans already assumed little help from our markets and I am confident we will continue to outperform, benefiting from our well-established programme of self-help initiatives, international scale and breadth, and robust balance sheet.”</w:t>
      </w:r>
    </w:p>
    <w:p w:rsidR="00071D62" w:rsidRPr="00791B66" w:rsidRDefault="00071D62" w:rsidP="00964DC6">
      <w:pPr>
        <w:jc w:val="left"/>
        <w:rPr>
          <w:rFonts w:ascii="Arial" w:hAnsi="Arial" w:cs="Arial"/>
          <w:b/>
          <w:bCs/>
          <w:sz w:val="24"/>
          <w:szCs w:val="24"/>
        </w:rPr>
      </w:pPr>
    </w:p>
    <w:p w:rsidR="00071D62" w:rsidRPr="00771258" w:rsidRDefault="00071D62" w:rsidP="00AD5BF9">
      <w:pPr>
        <w:jc w:val="left"/>
        <w:rPr>
          <w:rFonts w:ascii="Arial" w:hAnsi="Arial" w:cs="Arial"/>
          <w:b/>
          <w:bCs/>
          <w:sz w:val="24"/>
          <w:szCs w:val="24"/>
          <w:lang w:val="fr-FR"/>
        </w:rPr>
      </w:pPr>
      <w:r w:rsidRPr="00771258">
        <w:rPr>
          <w:rFonts w:ascii="Arial" w:hAnsi="Arial" w:cs="Arial"/>
          <w:b/>
          <w:bCs/>
          <w:sz w:val="24"/>
          <w:szCs w:val="24"/>
          <w:lang w:val="fr-FR"/>
        </w:rPr>
        <w:t>Enquiries:</w:t>
      </w:r>
    </w:p>
    <w:tbl>
      <w:tblPr>
        <w:tblW w:w="4839" w:type="pct"/>
        <w:tblInd w:w="-106" w:type="dxa"/>
        <w:tblBorders>
          <w:top w:val="single" w:sz="4" w:space="0" w:color="auto"/>
          <w:left w:val="single" w:sz="4" w:space="0" w:color="auto"/>
          <w:bottom w:val="single" w:sz="4" w:space="0" w:color="auto"/>
          <w:right w:val="single" w:sz="4" w:space="0" w:color="auto"/>
        </w:tblBorders>
        <w:tblLook w:val="01E0"/>
      </w:tblPr>
      <w:tblGrid>
        <w:gridCol w:w="6863"/>
        <w:gridCol w:w="2677"/>
      </w:tblGrid>
      <w:tr w:rsidR="00071D62" w:rsidRPr="00791B66">
        <w:tc>
          <w:tcPr>
            <w:tcW w:w="3597" w:type="pct"/>
            <w:tcBorders>
              <w:top w:val="single" w:sz="4" w:space="0" w:color="auto"/>
            </w:tcBorders>
          </w:tcPr>
          <w:p w:rsidR="00071D62" w:rsidRPr="00791B66" w:rsidRDefault="00071D62" w:rsidP="008E3324">
            <w:pPr>
              <w:jc w:val="left"/>
              <w:rPr>
                <w:rFonts w:ascii="Arial" w:hAnsi="Arial" w:cs="Arial"/>
                <w:sz w:val="24"/>
                <w:szCs w:val="24"/>
              </w:rPr>
            </w:pPr>
            <w:r w:rsidRPr="00791B66">
              <w:rPr>
                <w:rFonts w:ascii="Arial" w:hAnsi="Arial" w:cs="Arial"/>
                <w:sz w:val="24"/>
                <w:szCs w:val="24"/>
              </w:rPr>
              <w:t>Ian Harding, Group Communications Director</w:t>
            </w:r>
          </w:p>
        </w:tc>
        <w:tc>
          <w:tcPr>
            <w:tcW w:w="1403" w:type="pct"/>
            <w:tcBorders>
              <w:top w:val="single" w:sz="4" w:space="0" w:color="auto"/>
            </w:tcBorders>
          </w:tcPr>
          <w:p w:rsidR="00071D62" w:rsidRPr="00791B66" w:rsidRDefault="00071D62" w:rsidP="00F979C4">
            <w:pPr>
              <w:jc w:val="right"/>
              <w:rPr>
                <w:rFonts w:ascii="Arial" w:hAnsi="Arial" w:cs="Arial"/>
                <w:sz w:val="24"/>
                <w:szCs w:val="24"/>
              </w:rPr>
            </w:pPr>
            <w:r w:rsidRPr="00791B66">
              <w:rPr>
                <w:rFonts w:ascii="Arial" w:hAnsi="Arial" w:cs="Arial"/>
                <w:sz w:val="24"/>
                <w:szCs w:val="24"/>
              </w:rPr>
              <w:t>020 7644 1029</w:t>
            </w:r>
          </w:p>
        </w:tc>
      </w:tr>
      <w:tr w:rsidR="00071D62" w:rsidRPr="00791B66">
        <w:trPr>
          <w:trHeight w:val="70"/>
        </w:trPr>
        <w:tc>
          <w:tcPr>
            <w:tcW w:w="3597" w:type="pct"/>
          </w:tcPr>
          <w:p w:rsidR="00071D62" w:rsidRPr="00791B66" w:rsidRDefault="00071D62" w:rsidP="008E3324">
            <w:pPr>
              <w:jc w:val="left"/>
              <w:rPr>
                <w:rFonts w:ascii="Arial" w:hAnsi="Arial" w:cs="Arial"/>
                <w:sz w:val="24"/>
                <w:szCs w:val="24"/>
              </w:rPr>
            </w:pPr>
          </w:p>
        </w:tc>
        <w:tc>
          <w:tcPr>
            <w:tcW w:w="1403" w:type="pct"/>
          </w:tcPr>
          <w:p w:rsidR="00071D62" w:rsidRPr="00791B66" w:rsidRDefault="00071D62" w:rsidP="00F979C4">
            <w:pPr>
              <w:jc w:val="right"/>
              <w:rPr>
                <w:rFonts w:ascii="Arial" w:hAnsi="Arial" w:cs="Arial"/>
                <w:sz w:val="24"/>
                <w:szCs w:val="24"/>
              </w:rPr>
            </w:pPr>
          </w:p>
        </w:tc>
      </w:tr>
      <w:tr w:rsidR="00071D62" w:rsidRPr="00791B66">
        <w:tc>
          <w:tcPr>
            <w:tcW w:w="3597" w:type="pct"/>
          </w:tcPr>
          <w:p w:rsidR="00071D62" w:rsidRPr="00791B66" w:rsidRDefault="00071D62" w:rsidP="008E3324">
            <w:pPr>
              <w:jc w:val="left"/>
              <w:rPr>
                <w:rFonts w:ascii="Arial" w:hAnsi="Arial" w:cs="Arial"/>
                <w:sz w:val="24"/>
                <w:szCs w:val="24"/>
              </w:rPr>
            </w:pPr>
            <w:r w:rsidRPr="00791B66">
              <w:rPr>
                <w:rFonts w:ascii="Arial" w:hAnsi="Arial" w:cs="Arial"/>
                <w:sz w:val="24"/>
                <w:szCs w:val="24"/>
              </w:rPr>
              <w:t>Sarah Gerrand, Head of Investor Relations</w:t>
            </w:r>
          </w:p>
        </w:tc>
        <w:tc>
          <w:tcPr>
            <w:tcW w:w="1403" w:type="pct"/>
          </w:tcPr>
          <w:p w:rsidR="00071D62" w:rsidRPr="00791B66" w:rsidRDefault="00071D62" w:rsidP="00F979C4">
            <w:pPr>
              <w:jc w:val="right"/>
              <w:rPr>
                <w:rFonts w:ascii="Arial" w:hAnsi="Arial" w:cs="Arial"/>
                <w:sz w:val="24"/>
                <w:szCs w:val="24"/>
              </w:rPr>
            </w:pPr>
            <w:r w:rsidRPr="00791B66">
              <w:rPr>
                <w:rFonts w:ascii="Arial" w:hAnsi="Arial" w:cs="Arial"/>
                <w:sz w:val="24"/>
                <w:szCs w:val="24"/>
              </w:rPr>
              <w:t>020 7644 1032</w:t>
            </w:r>
          </w:p>
        </w:tc>
      </w:tr>
      <w:tr w:rsidR="00071D62" w:rsidRPr="00791B66">
        <w:tc>
          <w:tcPr>
            <w:tcW w:w="3597" w:type="pct"/>
          </w:tcPr>
          <w:p w:rsidR="00071D62" w:rsidRPr="00791B66" w:rsidRDefault="00071D62" w:rsidP="008E3324">
            <w:pPr>
              <w:jc w:val="left"/>
              <w:rPr>
                <w:rFonts w:ascii="Arial" w:hAnsi="Arial" w:cs="Arial"/>
                <w:sz w:val="24"/>
                <w:szCs w:val="24"/>
              </w:rPr>
            </w:pPr>
          </w:p>
        </w:tc>
        <w:tc>
          <w:tcPr>
            <w:tcW w:w="1403" w:type="pct"/>
          </w:tcPr>
          <w:p w:rsidR="00071D62" w:rsidRPr="00791B66" w:rsidRDefault="00071D62" w:rsidP="00F979C4">
            <w:pPr>
              <w:jc w:val="right"/>
              <w:rPr>
                <w:rFonts w:ascii="Arial" w:hAnsi="Arial" w:cs="Arial"/>
                <w:sz w:val="24"/>
                <w:szCs w:val="24"/>
              </w:rPr>
            </w:pPr>
          </w:p>
        </w:tc>
      </w:tr>
      <w:tr w:rsidR="00071D62" w:rsidRPr="00791B66">
        <w:tc>
          <w:tcPr>
            <w:tcW w:w="3597" w:type="pct"/>
          </w:tcPr>
          <w:p w:rsidR="00071D62" w:rsidRPr="00791B66" w:rsidRDefault="00071D62" w:rsidP="008E3324">
            <w:pPr>
              <w:jc w:val="left"/>
              <w:rPr>
                <w:rFonts w:ascii="Arial" w:hAnsi="Arial" w:cs="Arial"/>
                <w:sz w:val="24"/>
                <w:szCs w:val="24"/>
              </w:rPr>
            </w:pPr>
            <w:r w:rsidRPr="00791B66">
              <w:rPr>
                <w:rFonts w:ascii="Arial" w:hAnsi="Arial" w:cs="Arial"/>
                <w:sz w:val="24"/>
                <w:szCs w:val="24"/>
              </w:rPr>
              <w:t xml:space="preserve">Nigel Cope, Head of </w:t>
            </w:r>
            <w:r>
              <w:rPr>
                <w:rFonts w:ascii="Arial" w:hAnsi="Arial" w:cs="Arial"/>
                <w:sz w:val="24"/>
                <w:szCs w:val="24"/>
              </w:rPr>
              <w:t>Media Relations</w:t>
            </w:r>
          </w:p>
        </w:tc>
        <w:tc>
          <w:tcPr>
            <w:tcW w:w="1403" w:type="pct"/>
          </w:tcPr>
          <w:p w:rsidR="00071D62" w:rsidRPr="00791B66" w:rsidRDefault="00071D62" w:rsidP="00F979C4">
            <w:pPr>
              <w:jc w:val="right"/>
              <w:rPr>
                <w:rFonts w:ascii="Arial" w:hAnsi="Arial" w:cs="Arial"/>
                <w:sz w:val="24"/>
                <w:szCs w:val="24"/>
              </w:rPr>
            </w:pPr>
            <w:r w:rsidRPr="00791B66">
              <w:rPr>
                <w:rFonts w:ascii="Arial" w:hAnsi="Arial" w:cs="Arial"/>
                <w:sz w:val="24"/>
                <w:szCs w:val="24"/>
              </w:rPr>
              <w:t>020 7644 1030</w:t>
            </w:r>
          </w:p>
        </w:tc>
      </w:tr>
      <w:tr w:rsidR="00071D62" w:rsidRPr="00791B66">
        <w:tc>
          <w:tcPr>
            <w:tcW w:w="3597" w:type="pct"/>
          </w:tcPr>
          <w:p w:rsidR="00071D62" w:rsidRPr="00791B66" w:rsidRDefault="00071D62" w:rsidP="008E3324">
            <w:pPr>
              <w:jc w:val="left"/>
              <w:rPr>
                <w:rFonts w:ascii="Arial" w:hAnsi="Arial" w:cs="Arial"/>
                <w:sz w:val="24"/>
                <w:szCs w:val="24"/>
              </w:rPr>
            </w:pPr>
          </w:p>
        </w:tc>
        <w:tc>
          <w:tcPr>
            <w:tcW w:w="1403" w:type="pct"/>
          </w:tcPr>
          <w:p w:rsidR="00071D62" w:rsidRPr="00791B66" w:rsidRDefault="00071D62" w:rsidP="00F979C4">
            <w:pPr>
              <w:jc w:val="right"/>
              <w:rPr>
                <w:rFonts w:ascii="Arial" w:hAnsi="Arial" w:cs="Arial"/>
                <w:sz w:val="24"/>
                <w:szCs w:val="24"/>
              </w:rPr>
            </w:pPr>
          </w:p>
        </w:tc>
      </w:tr>
      <w:tr w:rsidR="00071D62" w:rsidRPr="00791B66">
        <w:tc>
          <w:tcPr>
            <w:tcW w:w="3597" w:type="pct"/>
          </w:tcPr>
          <w:p w:rsidR="00071D62" w:rsidRPr="00791B66" w:rsidRDefault="00071D62" w:rsidP="008E3324">
            <w:pPr>
              <w:jc w:val="left"/>
              <w:rPr>
                <w:rFonts w:ascii="Arial" w:hAnsi="Arial" w:cs="Arial"/>
                <w:sz w:val="24"/>
                <w:szCs w:val="24"/>
              </w:rPr>
            </w:pPr>
            <w:r>
              <w:rPr>
                <w:rFonts w:ascii="Arial" w:hAnsi="Arial" w:cs="Arial"/>
                <w:sz w:val="24"/>
                <w:szCs w:val="24"/>
              </w:rPr>
              <w:t xml:space="preserve">Clare Haines, </w:t>
            </w:r>
            <w:r w:rsidRPr="00681D2B">
              <w:rPr>
                <w:rFonts w:ascii="Arial" w:hAnsi="Arial" w:cs="Arial"/>
                <w:sz w:val="24"/>
                <w:szCs w:val="24"/>
              </w:rPr>
              <w:t>Media Relations Officer</w:t>
            </w:r>
          </w:p>
        </w:tc>
        <w:tc>
          <w:tcPr>
            <w:tcW w:w="1403" w:type="pct"/>
          </w:tcPr>
          <w:p w:rsidR="00071D62" w:rsidRPr="00791B66" w:rsidRDefault="00071D62" w:rsidP="00F979C4">
            <w:pPr>
              <w:jc w:val="right"/>
              <w:rPr>
                <w:rFonts w:ascii="Arial" w:hAnsi="Arial" w:cs="Arial"/>
                <w:sz w:val="24"/>
                <w:szCs w:val="24"/>
              </w:rPr>
            </w:pPr>
            <w:r>
              <w:rPr>
                <w:rFonts w:ascii="Arial" w:hAnsi="Arial" w:cs="Arial"/>
                <w:sz w:val="24"/>
                <w:szCs w:val="24"/>
              </w:rPr>
              <w:t>020 7644 1286</w:t>
            </w:r>
          </w:p>
        </w:tc>
      </w:tr>
      <w:tr w:rsidR="00071D62" w:rsidRPr="00791B66">
        <w:tc>
          <w:tcPr>
            <w:tcW w:w="3597" w:type="pct"/>
          </w:tcPr>
          <w:p w:rsidR="00071D62" w:rsidRDefault="00071D62" w:rsidP="008E3324">
            <w:pPr>
              <w:jc w:val="left"/>
              <w:rPr>
                <w:rFonts w:ascii="Arial" w:hAnsi="Arial" w:cs="Arial"/>
                <w:sz w:val="24"/>
                <w:szCs w:val="24"/>
              </w:rPr>
            </w:pPr>
          </w:p>
        </w:tc>
        <w:tc>
          <w:tcPr>
            <w:tcW w:w="1403" w:type="pct"/>
          </w:tcPr>
          <w:p w:rsidR="00071D62" w:rsidRDefault="00071D62" w:rsidP="00F979C4">
            <w:pPr>
              <w:jc w:val="right"/>
              <w:rPr>
                <w:rFonts w:ascii="Arial" w:hAnsi="Arial" w:cs="Arial"/>
                <w:sz w:val="24"/>
                <w:szCs w:val="24"/>
              </w:rPr>
            </w:pPr>
          </w:p>
        </w:tc>
      </w:tr>
      <w:tr w:rsidR="00071D62" w:rsidRPr="00791B66">
        <w:tc>
          <w:tcPr>
            <w:tcW w:w="3597" w:type="pct"/>
            <w:tcBorders>
              <w:bottom w:val="single" w:sz="4" w:space="0" w:color="auto"/>
            </w:tcBorders>
          </w:tcPr>
          <w:p w:rsidR="00071D62" w:rsidRPr="00791B66" w:rsidRDefault="00071D62" w:rsidP="008E3324">
            <w:pPr>
              <w:jc w:val="left"/>
              <w:rPr>
                <w:rFonts w:ascii="Arial" w:hAnsi="Arial" w:cs="Arial"/>
                <w:sz w:val="24"/>
                <w:szCs w:val="24"/>
              </w:rPr>
            </w:pPr>
            <w:smartTag w:uri="urn:schemas-microsoft-com:office:smarttags" w:element="place">
              <w:smartTag w:uri="urn:schemas-microsoft-com:office:smarttags" w:element="City">
                <w:r>
                  <w:rPr>
                    <w:rFonts w:ascii="Arial" w:hAnsi="Arial" w:cs="Arial"/>
                    <w:sz w:val="24"/>
                    <w:szCs w:val="24"/>
                  </w:rPr>
                  <w:t>Brunswick</w:t>
                </w:r>
              </w:smartTag>
            </w:smartTag>
          </w:p>
        </w:tc>
        <w:tc>
          <w:tcPr>
            <w:tcW w:w="1403" w:type="pct"/>
            <w:tcBorders>
              <w:bottom w:val="single" w:sz="4" w:space="0" w:color="auto"/>
            </w:tcBorders>
          </w:tcPr>
          <w:p w:rsidR="00071D62" w:rsidRPr="00791B66" w:rsidRDefault="00071D62" w:rsidP="00F979C4">
            <w:pPr>
              <w:jc w:val="right"/>
              <w:rPr>
                <w:rFonts w:ascii="Arial" w:hAnsi="Arial" w:cs="Arial"/>
                <w:sz w:val="24"/>
                <w:szCs w:val="24"/>
              </w:rPr>
            </w:pPr>
            <w:r>
              <w:rPr>
                <w:rFonts w:ascii="Arial" w:hAnsi="Arial" w:cs="Arial"/>
                <w:sz w:val="24"/>
                <w:szCs w:val="24"/>
              </w:rPr>
              <w:t>020 7404 5959</w:t>
            </w:r>
          </w:p>
        </w:tc>
      </w:tr>
    </w:tbl>
    <w:p w:rsidR="00071D62" w:rsidRPr="00791B66" w:rsidRDefault="00071D62" w:rsidP="00AD5BF9">
      <w:pPr>
        <w:jc w:val="left"/>
        <w:rPr>
          <w:rFonts w:ascii="Arial" w:hAnsi="Arial" w:cs="Arial"/>
          <w:sz w:val="24"/>
          <w:szCs w:val="24"/>
        </w:rPr>
      </w:pPr>
    </w:p>
    <w:p w:rsidR="00071D62" w:rsidRDefault="00071D62" w:rsidP="00AD5BF9">
      <w:pPr>
        <w:jc w:val="left"/>
        <w:rPr>
          <w:rFonts w:ascii="Arial" w:hAnsi="Arial" w:cs="Arial"/>
          <w:sz w:val="24"/>
          <w:szCs w:val="24"/>
        </w:rPr>
      </w:pPr>
      <w:r w:rsidRPr="00791B66">
        <w:rPr>
          <w:rFonts w:ascii="Arial" w:hAnsi="Arial" w:cs="Arial"/>
          <w:sz w:val="24"/>
          <w:szCs w:val="24"/>
        </w:rPr>
        <w:t xml:space="preserve">Further copies of this announcement can be downloaded from </w:t>
      </w:r>
      <w:hyperlink r:id="rId7" w:history="1">
        <w:r w:rsidRPr="00791B66">
          <w:rPr>
            <w:rStyle w:val="Hyperlink"/>
            <w:rFonts w:ascii="Arial" w:hAnsi="Arial" w:cs="Arial"/>
            <w:sz w:val="24"/>
            <w:szCs w:val="24"/>
          </w:rPr>
          <w:t>www.kingfisher.com</w:t>
        </w:r>
      </w:hyperlink>
      <w:r>
        <w:rPr>
          <w:rFonts w:ascii="Arial" w:hAnsi="Arial" w:cs="Arial"/>
          <w:sz w:val="24"/>
          <w:szCs w:val="24"/>
        </w:rPr>
        <w:t xml:space="preserve">. A video interview with Ian Cheshire and Kevin O’Byrne is available on the website. </w:t>
      </w:r>
    </w:p>
    <w:p w:rsidR="00071D62" w:rsidRDefault="00071D62" w:rsidP="00AD5BF9">
      <w:pPr>
        <w:jc w:val="left"/>
        <w:rPr>
          <w:rFonts w:ascii="Arial" w:hAnsi="Arial" w:cs="Arial"/>
          <w:sz w:val="24"/>
          <w:szCs w:val="24"/>
        </w:rPr>
      </w:pPr>
    </w:p>
    <w:p w:rsidR="00071D62" w:rsidRPr="00791B66" w:rsidRDefault="00071D62" w:rsidP="00AD5BF9">
      <w:pPr>
        <w:jc w:val="left"/>
        <w:rPr>
          <w:rFonts w:ascii="Arial" w:hAnsi="Arial" w:cs="Arial"/>
          <w:sz w:val="24"/>
          <w:szCs w:val="24"/>
        </w:rPr>
      </w:pPr>
      <w:r>
        <w:rPr>
          <w:rFonts w:ascii="Arial" w:hAnsi="Arial" w:cs="Arial"/>
          <w:sz w:val="24"/>
          <w:szCs w:val="24"/>
        </w:rPr>
        <w:t xml:space="preserve">We can also be followed on the day on twitter @kingfisherplc and a new Kingfisher iPad App for Investor Relations is now available at the Apple App store. </w:t>
      </w:r>
    </w:p>
    <w:p w:rsidR="00071D62" w:rsidRDefault="00071D62" w:rsidP="00EE1E29">
      <w:pPr>
        <w:jc w:val="left"/>
        <w:rPr>
          <w:rFonts w:ascii="Arial" w:hAnsi="Arial" w:cs="Arial"/>
          <w:sz w:val="24"/>
          <w:szCs w:val="24"/>
        </w:rPr>
      </w:pPr>
    </w:p>
    <w:p w:rsidR="00071D62" w:rsidRPr="00791B66" w:rsidRDefault="00071D62" w:rsidP="0069464D">
      <w:pPr>
        <w:jc w:val="left"/>
        <w:rPr>
          <w:rFonts w:ascii="Arial" w:hAnsi="Arial" w:cs="Arial"/>
          <w:sz w:val="24"/>
          <w:szCs w:val="24"/>
        </w:rPr>
      </w:pPr>
      <w:r w:rsidRPr="00791B66">
        <w:rPr>
          <w:rFonts w:ascii="Arial" w:hAnsi="Arial" w:cs="Arial"/>
          <w:b/>
          <w:bCs/>
          <w:sz w:val="24"/>
          <w:szCs w:val="24"/>
        </w:rPr>
        <w:t>Company Profile:</w:t>
      </w:r>
    </w:p>
    <w:p w:rsidR="00071D62" w:rsidRPr="00791B66" w:rsidRDefault="00071D62" w:rsidP="0069464D">
      <w:pPr>
        <w:jc w:val="left"/>
        <w:rPr>
          <w:rFonts w:ascii="Arial" w:hAnsi="Arial" w:cs="Arial"/>
          <w:sz w:val="24"/>
          <w:szCs w:val="24"/>
        </w:rPr>
      </w:pPr>
    </w:p>
    <w:p w:rsidR="00071D62" w:rsidRDefault="00071D62" w:rsidP="0069464D">
      <w:pPr>
        <w:jc w:val="left"/>
        <w:rPr>
          <w:rFonts w:ascii="Arial" w:hAnsi="Arial" w:cs="Arial"/>
          <w:sz w:val="24"/>
          <w:szCs w:val="24"/>
        </w:rPr>
      </w:pPr>
      <w:r w:rsidRPr="00791B66">
        <w:rPr>
          <w:rFonts w:ascii="Arial" w:hAnsi="Arial" w:cs="Arial"/>
          <w:b/>
          <w:bCs/>
          <w:sz w:val="24"/>
          <w:szCs w:val="24"/>
        </w:rPr>
        <w:t>Kingfisher</w:t>
      </w:r>
      <w:r w:rsidRPr="00791B66">
        <w:rPr>
          <w:rFonts w:ascii="Arial" w:hAnsi="Arial" w:cs="Arial"/>
          <w:sz w:val="24"/>
          <w:szCs w:val="24"/>
        </w:rPr>
        <w:t xml:space="preserve"> </w:t>
      </w:r>
      <w:r w:rsidRPr="00791B66">
        <w:rPr>
          <w:rFonts w:ascii="Arial" w:hAnsi="Arial" w:cs="Arial"/>
          <w:b/>
          <w:bCs/>
          <w:sz w:val="24"/>
          <w:szCs w:val="24"/>
        </w:rPr>
        <w:t xml:space="preserve">plc </w:t>
      </w:r>
      <w:r w:rsidRPr="00791B66">
        <w:rPr>
          <w:rFonts w:ascii="Arial" w:hAnsi="Arial" w:cs="Arial"/>
          <w:sz w:val="24"/>
          <w:szCs w:val="24"/>
        </w:rPr>
        <w:t>is Europe’s leading home improvement retail group and the third largest in the world, with 8</w:t>
      </w:r>
      <w:r>
        <w:rPr>
          <w:rFonts w:ascii="Arial" w:hAnsi="Arial" w:cs="Arial"/>
          <w:sz w:val="24"/>
          <w:szCs w:val="24"/>
        </w:rPr>
        <w:t>75</w:t>
      </w:r>
      <w:r w:rsidRPr="00791B66">
        <w:rPr>
          <w:rFonts w:ascii="Arial" w:hAnsi="Arial" w:cs="Arial"/>
          <w:sz w:val="24"/>
          <w:szCs w:val="24"/>
        </w:rPr>
        <w:t xml:space="preserve"> stores in eight</w:t>
      </w:r>
      <w:r>
        <w:rPr>
          <w:rFonts w:ascii="Arial" w:hAnsi="Arial" w:cs="Arial"/>
          <w:sz w:val="24"/>
          <w:szCs w:val="24"/>
        </w:rPr>
        <w:t xml:space="preserve"> countries in Europe and </w:t>
      </w:r>
      <w:smartTag w:uri="urn:schemas-microsoft-com:office:smarttags" w:element="place">
        <w:r>
          <w:rPr>
            <w:rFonts w:ascii="Arial" w:hAnsi="Arial" w:cs="Arial"/>
            <w:sz w:val="24"/>
            <w:szCs w:val="24"/>
          </w:rPr>
          <w:t>Asia</w:t>
        </w:r>
      </w:smartTag>
      <w:r>
        <w:rPr>
          <w:rFonts w:ascii="Arial" w:hAnsi="Arial" w:cs="Arial"/>
          <w:sz w:val="24"/>
          <w:szCs w:val="24"/>
        </w:rPr>
        <w:t xml:space="preserve">. </w:t>
      </w:r>
      <w:r w:rsidRPr="00791B66">
        <w:rPr>
          <w:rFonts w:ascii="Arial" w:hAnsi="Arial" w:cs="Arial"/>
          <w:sz w:val="24"/>
          <w:szCs w:val="24"/>
        </w:rPr>
        <w:t xml:space="preserve">Its main retail brands are B&amp;Q, Castorama, Brico Dépôt and Screwfix. Kingfisher also has a 50% joint venture business in </w:t>
      </w:r>
      <w:smartTag w:uri="urn:schemas-microsoft-com:office:smarttags" w:element="country-region">
        <w:r w:rsidRPr="00791B66">
          <w:rPr>
            <w:rFonts w:ascii="Arial" w:hAnsi="Arial" w:cs="Arial"/>
            <w:sz w:val="24"/>
            <w:szCs w:val="24"/>
          </w:rPr>
          <w:t>Turkey</w:t>
        </w:r>
      </w:smartTag>
      <w:r w:rsidRPr="00791B66">
        <w:rPr>
          <w:rFonts w:ascii="Arial" w:hAnsi="Arial" w:cs="Arial"/>
          <w:sz w:val="24"/>
          <w:szCs w:val="24"/>
        </w:rPr>
        <w:t xml:space="preserve"> with Koç Group, and a 21% interest in, and strategic alliance with </w:t>
      </w:r>
      <w:smartTag w:uri="urn:schemas-microsoft-com:office:smarttags" w:element="place">
        <w:smartTag w:uri="urn:schemas-microsoft-com:office:smarttags" w:element="City">
          <w:r w:rsidRPr="00791B66">
            <w:rPr>
              <w:rFonts w:ascii="Arial" w:hAnsi="Arial" w:cs="Arial"/>
              <w:sz w:val="24"/>
              <w:szCs w:val="24"/>
            </w:rPr>
            <w:t>Hornbach</w:t>
          </w:r>
        </w:smartTag>
        <w:r w:rsidRPr="00791B66">
          <w:rPr>
            <w:rFonts w:ascii="Arial" w:hAnsi="Arial" w:cs="Arial"/>
            <w:sz w:val="24"/>
            <w:szCs w:val="24"/>
          </w:rPr>
          <w:t xml:space="preserve">, </w:t>
        </w:r>
        <w:smartTag w:uri="urn:schemas-microsoft-com:office:smarttags" w:element="country-region">
          <w:r w:rsidRPr="00791B66">
            <w:rPr>
              <w:rFonts w:ascii="Arial" w:hAnsi="Arial" w:cs="Arial"/>
              <w:sz w:val="24"/>
              <w:szCs w:val="24"/>
            </w:rPr>
            <w:t>Germany</w:t>
          </w:r>
        </w:smartTag>
      </w:smartTag>
      <w:r w:rsidRPr="00791B66">
        <w:rPr>
          <w:rFonts w:ascii="Arial" w:hAnsi="Arial" w:cs="Arial"/>
          <w:sz w:val="24"/>
          <w:szCs w:val="24"/>
        </w:rPr>
        <w:t>’s leading large format DIY retailer.</w:t>
      </w:r>
    </w:p>
    <w:p w:rsidR="00071D62" w:rsidRPr="00791B66" w:rsidRDefault="00071D62" w:rsidP="0069464D">
      <w:pPr>
        <w:jc w:val="left"/>
        <w:rPr>
          <w:rFonts w:cs="Times New Roman"/>
          <w:sz w:val="24"/>
          <w:szCs w:val="24"/>
        </w:rPr>
      </w:pPr>
    </w:p>
    <w:p w:rsidR="00071D62" w:rsidRPr="00166698" w:rsidRDefault="00071D62" w:rsidP="00EE1E29">
      <w:pPr>
        <w:jc w:val="left"/>
        <w:rPr>
          <w:rFonts w:ascii="Arial" w:hAnsi="Arial" w:cs="Arial"/>
          <w:sz w:val="24"/>
          <w:szCs w:val="24"/>
        </w:rPr>
      </w:pPr>
      <w:r w:rsidRPr="00166698">
        <w:rPr>
          <w:rFonts w:ascii="Arial" w:hAnsi="Arial" w:cs="Arial"/>
          <w:sz w:val="24"/>
          <w:szCs w:val="24"/>
        </w:rPr>
        <w:t xml:space="preserve">The remainder of this release has </w:t>
      </w:r>
      <w:r>
        <w:rPr>
          <w:rFonts w:ascii="Arial" w:hAnsi="Arial" w:cs="Arial"/>
          <w:sz w:val="24"/>
          <w:szCs w:val="24"/>
        </w:rPr>
        <w:t xml:space="preserve">five </w:t>
      </w:r>
      <w:r w:rsidRPr="00166698">
        <w:rPr>
          <w:rFonts w:ascii="Arial" w:hAnsi="Arial" w:cs="Arial"/>
          <w:sz w:val="24"/>
          <w:szCs w:val="24"/>
        </w:rPr>
        <w:t>main sections:</w:t>
      </w:r>
    </w:p>
    <w:p w:rsidR="00071D62" w:rsidRDefault="00071D62" w:rsidP="00674632">
      <w:pPr>
        <w:numPr>
          <w:ilvl w:val="0"/>
          <w:numId w:val="8"/>
        </w:numPr>
        <w:jc w:val="left"/>
        <w:rPr>
          <w:rFonts w:ascii="Arial" w:hAnsi="Arial" w:cs="Arial"/>
          <w:sz w:val="24"/>
          <w:szCs w:val="24"/>
        </w:rPr>
      </w:pPr>
      <w:r w:rsidRPr="00EE1E29">
        <w:rPr>
          <w:rFonts w:ascii="Arial" w:hAnsi="Arial" w:cs="Arial"/>
          <w:sz w:val="24"/>
          <w:szCs w:val="24"/>
        </w:rPr>
        <w:t xml:space="preserve">Trading </w:t>
      </w:r>
      <w:r>
        <w:rPr>
          <w:rFonts w:ascii="Arial" w:hAnsi="Arial" w:cs="Arial"/>
          <w:sz w:val="24"/>
          <w:szCs w:val="24"/>
        </w:rPr>
        <w:t>r</w:t>
      </w:r>
      <w:r w:rsidRPr="00EE1E29">
        <w:rPr>
          <w:rFonts w:ascii="Arial" w:hAnsi="Arial" w:cs="Arial"/>
          <w:sz w:val="24"/>
          <w:szCs w:val="24"/>
        </w:rPr>
        <w:t>eview</w:t>
      </w:r>
      <w:r>
        <w:rPr>
          <w:rFonts w:ascii="Arial" w:hAnsi="Arial" w:cs="Arial"/>
          <w:sz w:val="24"/>
          <w:szCs w:val="24"/>
        </w:rPr>
        <w:t xml:space="preserve"> by division</w:t>
      </w:r>
    </w:p>
    <w:p w:rsidR="00071D62" w:rsidRDefault="00071D62" w:rsidP="00972688">
      <w:pPr>
        <w:numPr>
          <w:ilvl w:val="0"/>
          <w:numId w:val="8"/>
        </w:numPr>
        <w:jc w:val="left"/>
        <w:rPr>
          <w:rFonts w:ascii="Arial" w:hAnsi="Arial" w:cs="Arial"/>
          <w:sz w:val="24"/>
          <w:szCs w:val="24"/>
        </w:rPr>
      </w:pPr>
      <w:r>
        <w:rPr>
          <w:rFonts w:ascii="Arial" w:hAnsi="Arial" w:cs="Arial"/>
          <w:sz w:val="24"/>
          <w:szCs w:val="24"/>
        </w:rPr>
        <w:t>‘Delivering Value’ progress</w:t>
      </w:r>
    </w:p>
    <w:p w:rsidR="00071D62" w:rsidRDefault="00071D62" w:rsidP="00972688">
      <w:pPr>
        <w:numPr>
          <w:ilvl w:val="0"/>
          <w:numId w:val="8"/>
        </w:numPr>
        <w:jc w:val="left"/>
        <w:rPr>
          <w:rFonts w:ascii="Arial" w:hAnsi="Arial" w:cs="Arial"/>
          <w:sz w:val="24"/>
          <w:szCs w:val="24"/>
        </w:rPr>
      </w:pPr>
      <w:r>
        <w:rPr>
          <w:rFonts w:ascii="Arial" w:hAnsi="Arial" w:cs="Arial"/>
          <w:sz w:val="24"/>
          <w:szCs w:val="24"/>
        </w:rPr>
        <w:t xml:space="preserve">Sustainability progress  </w:t>
      </w:r>
    </w:p>
    <w:p w:rsidR="00071D62" w:rsidRPr="00EE1E29" w:rsidRDefault="00071D62" w:rsidP="00674632">
      <w:pPr>
        <w:numPr>
          <w:ilvl w:val="0"/>
          <w:numId w:val="8"/>
        </w:numPr>
        <w:jc w:val="left"/>
        <w:rPr>
          <w:rFonts w:ascii="Arial" w:hAnsi="Arial" w:cs="Arial"/>
          <w:sz w:val="24"/>
          <w:szCs w:val="24"/>
        </w:rPr>
      </w:pPr>
      <w:r>
        <w:rPr>
          <w:rFonts w:ascii="Arial" w:hAnsi="Arial" w:cs="Arial"/>
          <w:sz w:val="24"/>
          <w:szCs w:val="24"/>
        </w:rPr>
        <w:t>Country data</w:t>
      </w:r>
    </w:p>
    <w:p w:rsidR="00071D62" w:rsidRDefault="00071D62">
      <w:pPr>
        <w:numPr>
          <w:ilvl w:val="0"/>
          <w:numId w:val="8"/>
        </w:numPr>
        <w:jc w:val="left"/>
        <w:rPr>
          <w:rFonts w:ascii="Arial" w:hAnsi="Arial" w:cs="Arial"/>
          <w:b/>
          <w:bCs/>
          <w:sz w:val="24"/>
          <w:szCs w:val="24"/>
        </w:rPr>
      </w:pPr>
      <w:r w:rsidRPr="00EE1E29">
        <w:rPr>
          <w:rFonts w:ascii="Arial" w:hAnsi="Arial" w:cs="Arial"/>
          <w:sz w:val="24"/>
          <w:szCs w:val="24"/>
        </w:rPr>
        <w:t xml:space="preserve">Financial </w:t>
      </w:r>
      <w:r>
        <w:rPr>
          <w:rFonts w:ascii="Arial" w:hAnsi="Arial" w:cs="Arial"/>
          <w:sz w:val="24"/>
          <w:szCs w:val="24"/>
        </w:rPr>
        <w:t>R</w:t>
      </w:r>
      <w:r w:rsidRPr="00EE1E29">
        <w:rPr>
          <w:rFonts w:ascii="Arial" w:hAnsi="Arial" w:cs="Arial"/>
          <w:sz w:val="24"/>
          <w:szCs w:val="24"/>
        </w:rPr>
        <w:t xml:space="preserve">eview and, in part 2 of the </w:t>
      </w:r>
      <w:r>
        <w:rPr>
          <w:rFonts w:ascii="Arial" w:hAnsi="Arial" w:cs="Arial"/>
          <w:sz w:val="24"/>
          <w:szCs w:val="24"/>
        </w:rPr>
        <w:t>announcement</w:t>
      </w:r>
      <w:r w:rsidRPr="00EE1E29">
        <w:rPr>
          <w:rFonts w:ascii="Arial" w:hAnsi="Arial" w:cs="Arial"/>
          <w:sz w:val="24"/>
          <w:szCs w:val="24"/>
        </w:rPr>
        <w:t xml:space="preserve">, the </w:t>
      </w:r>
      <w:r>
        <w:rPr>
          <w:rFonts w:ascii="Arial" w:hAnsi="Arial" w:cs="Arial"/>
          <w:sz w:val="24"/>
          <w:szCs w:val="24"/>
        </w:rPr>
        <w:t>interim condensed</w:t>
      </w:r>
      <w:r w:rsidRPr="00EE1E29">
        <w:rPr>
          <w:rFonts w:ascii="Arial" w:hAnsi="Arial" w:cs="Arial"/>
          <w:sz w:val="24"/>
          <w:szCs w:val="24"/>
        </w:rPr>
        <w:t xml:space="preserve"> Financial Statements </w:t>
      </w:r>
    </w:p>
    <w:p w:rsidR="00071D62" w:rsidRPr="00472924" w:rsidRDefault="00071D62" w:rsidP="00484232">
      <w:pPr>
        <w:jc w:val="left"/>
        <w:rPr>
          <w:rFonts w:ascii="Helvetica" w:hAnsi="Helvetica" w:cs="Helvetica"/>
          <w:b/>
          <w:bCs/>
          <w:sz w:val="24"/>
          <w:szCs w:val="24"/>
        </w:rPr>
      </w:pPr>
      <w:r w:rsidRPr="003152E6">
        <w:rPr>
          <w:rFonts w:ascii="Helvetica" w:hAnsi="Helvetica" w:cs="Helvetica"/>
          <w:b/>
          <w:bCs/>
          <w:sz w:val="24"/>
          <w:szCs w:val="24"/>
        </w:rPr>
        <w:lastRenderedPageBreak/>
        <w:t>T</w:t>
      </w:r>
      <w:r>
        <w:rPr>
          <w:rFonts w:ascii="Helvetica" w:hAnsi="Helvetica" w:cs="Helvetica"/>
          <w:b/>
          <w:bCs/>
          <w:sz w:val="24"/>
          <w:szCs w:val="24"/>
        </w:rPr>
        <w:t>rading review by division</w:t>
      </w:r>
    </w:p>
    <w:p w:rsidR="00071D62" w:rsidRDefault="00071D62" w:rsidP="00484232">
      <w:pPr>
        <w:jc w:val="left"/>
        <w:rPr>
          <w:rFonts w:ascii="Arial" w:hAnsi="Arial" w:cs="Arial"/>
          <w:b/>
          <w:bCs/>
          <w:sz w:val="24"/>
          <w:szCs w:val="24"/>
        </w:rPr>
      </w:pPr>
    </w:p>
    <w:p w:rsidR="00071D62" w:rsidRPr="00791B66" w:rsidRDefault="00071D62" w:rsidP="00484232">
      <w:pPr>
        <w:jc w:val="left"/>
        <w:rPr>
          <w:rFonts w:ascii="Arial" w:hAnsi="Arial" w:cs="Arial"/>
          <w:sz w:val="24"/>
          <w:szCs w:val="24"/>
          <w:highlight w:val="yellow"/>
        </w:rPr>
      </w:pPr>
      <w:smartTag w:uri="urn:schemas-microsoft-com:office:smarttags" w:element="place">
        <w:smartTag w:uri="urn:schemas-microsoft-com:office:smarttags" w:element="country-region">
          <w:r w:rsidRPr="00791B66">
            <w:rPr>
              <w:rFonts w:ascii="Arial" w:hAnsi="Arial" w:cs="Arial"/>
              <w:b/>
              <w:bCs/>
              <w:sz w:val="24"/>
              <w:szCs w:val="24"/>
            </w:rPr>
            <w:t>FRANCE</w:t>
          </w:r>
        </w:smartTag>
      </w:smartTag>
    </w:p>
    <w:p w:rsidR="00071D62" w:rsidRPr="00791B66" w:rsidRDefault="00071D62" w:rsidP="00F23EB0">
      <w:pPr>
        <w:rPr>
          <w:rFonts w:ascii="Arial" w:hAnsi="Arial" w:cs="Arial"/>
          <w:b/>
          <w:bCs/>
          <w:sz w:val="24"/>
          <w:szCs w:val="24"/>
          <w:highlight w:val="yellow"/>
        </w:rPr>
      </w:pPr>
    </w:p>
    <w:tbl>
      <w:tblPr>
        <w:tblW w:w="483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3"/>
        <w:gridCol w:w="1513"/>
        <w:gridCol w:w="1257"/>
        <w:gridCol w:w="1732"/>
        <w:gridCol w:w="1561"/>
        <w:gridCol w:w="1034"/>
      </w:tblGrid>
      <w:tr w:rsidR="00071D62" w:rsidRPr="00791B66">
        <w:tc>
          <w:tcPr>
            <w:tcW w:w="1280" w:type="pct"/>
          </w:tcPr>
          <w:p w:rsidR="00071D62" w:rsidRPr="00791B66" w:rsidRDefault="00071D62" w:rsidP="00CE40EF">
            <w:pPr>
              <w:rPr>
                <w:rFonts w:ascii="Arial" w:hAnsi="Arial" w:cs="Arial"/>
                <w:sz w:val="24"/>
                <w:szCs w:val="24"/>
              </w:rPr>
            </w:pPr>
            <w:r w:rsidRPr="00791B66">
              <w:rPr>
                <w:rFonts w:ascii="Arial" w:hAnsi="Arial" w:cs="Arial"/>
                <w:b/>
                <w:bCs/>
                <w:sz w:val="24"/>
                <w:szCs w:val="24"/>
              </w:rPr>
              <w:t>Sales £m</w:t>
            </w:r>
          </w:p>
        </w:tc>
        <w:tc>
          <w:tcPr>
            <w:tcW w:w="793" w:type="pct"/>
          </w:tcPr>
          <w:p w:rsidR="00071D62" w:rsidRPr="00791B66" w:rsidRDefault="00071D62" w:rsidP="00701EEA">
            <w:pPr>
              <w:jc w:val="right"/>
              <w:rPr>
                <w:rFonts w:ascii="Arial" w:hAnsi="Arial" w:cs="Arial"/>
                <w:sz w:val="24"/>
                <w:szCs w:val="24"/>
              </w:rPr>
            </w:pPr>
            <w:r w:rsidRPr="00791B66">
              <w:rPr>
                <w:rFonts w:ascii="Arial" w:hAnsi="Arial" w:cs="Arial"/>
                <w:b/>
                <w:bCs/>
                <w:sz w:val="24"/>
                <w:szCs w:val="24"/>
              </w:rPr>
              <w:t>201</w:t>
            </w:r>
            <w:r>
              <w:rPr>
                <w:rFonts w:ascii="Arial" w:hAnsi="Arial" w:cs="Arial"/>
                <w:b/>
                <w:bCs/>
                <w:sz w:val="24"/>
                <w:szCs w:val="24"/>
              </w:rPr>
              <w:t>1</w:t>
            </w:r>
            <w:r w:rsidRPr="00791B66">
              <w:rPr>
                <w:rFonts w:ascii="Arial" w:hAnsi="Arial" w:cs="Arial"/>
                <w:b/>
                <w:bCs/>
                <w:sz w:val="24"/>
                <w:szCs w:val="24"/>
              </w:rPr>
              <w:t>/1</w:t>
            </w:r>
            <w:r>
              <w:rPr>
                <w:rFonts w:ascii="Arial" w:hAnsi="Arial" w:cs="Arial"/>
                <w:b/>
                <w:bCs/>
                <w:sz w:val="24"/>
                <w:szCs w:val="24"/>
              </w:rPr>
              <w:t>2</w:t>
            </w:r>
          </w:p>
        </w:tc>
        <w:tc>
          <w:tcPr>
            <w:tcW w:w="659" w:type="pct"/>
          </w:tcPr>
          <w:p w:rsidR="00071D62" w:rsidRPr="00791B66" w:rsidRDefault="00071D62" w:rsidP="00701EEA">
            <w:pPr>
              <w:jc w:val="right"/>
              <w:rPr>
                <w:rFonts w:ascii="Arial" w:hAnsi="Arial" w:cs="Arial"/>
                <w:b/>
                <w:bCs/>
                <w:sz w:val="24"/>
                <w:szCs w:val="24"/>
              </w:rPr>
            </w:pPr>
            <w:r w:rsidRPr="00791B66">
              <w:rPr>
                <w:rFonts w:ascii="Arial" w:hAnsi="Arial" w:cs="Arial"/>
                <w:b/>
                <w:bCs/>
                <w:sz w:val="24"/>
                <w:szCs w:val="24"/>
              </w:rPr>
              <w:t>20</w:t>
            </w:r>
            <w:r>
              <w:rPr>
                <w:rFonts w:ascii="Arial" w:hAnsi="Arial" w:cs="Arial"/>
                <w:b/>
                <w:bCs/>
                <w:sz w:val="24"/>
                <w:szCs w:val="24"/>
              </w:rPr>
              <w:t>10</w:t>
            </w:r>
            <w:r w:rsidRPr="00791B66">
              <w:rPr>
                <w:rFonts w:ascii="Arial" w:hAnsi="Arial" w:cs="Arial"/>
                <w:b/>
                <w:bCs/>
                <w:sz w:val="24"/>
                <w:szCs w:val="24"/>
              </w:rPr>
              <w:t>/1</w:t>
            </w:r>
            <w:r>
              <w:rPr>
                <w:rFonts w:ascii="Arial" w:hAnsi="Arial" w:cs="Arial"/>
                <w:b/>
                <w:bCs/>
                <w:sz w:val="24"/>
                <w:szCs w:val="24"/>
              </w:rPr>
              <w:t>1</w:t>
            </w:r>
          </w:p>
        </w:tc>
        <w:tc>
          <w:tcPr>
            <w:tcW w:w="908" w:type="pct"/>
          </w:tcPr>
          <w:p w:rsidR="00071D62" w:rsidRPr="00791B66" w:rsidRDefault="00071D62" w:rsidP="00701EEA">
            <w:pPr>
              <w:jc w:val="right"/>
              <w:rPr>
                <w:rFonts w:ascii="Arial" w:hAnsi="Arial" w:cs="Arial"/>
                <w:b/>
                <w:bCs/>
                <w:sz w:val="24"/>
                <w:szCs w:val="24"/>
              </w:rPr>
            </w:pPr>
            <w:r w:rsidRPr="00791B66">
              <w:rPr>
                <w:rFonts w:ascii="Arial" w:hAnsi="Arial" w:cs="Arial"/>
                <w:b/>
                <w:bCs/>
                <w:sz w:val="24"/>
                <w:szCs w:val="24"/>
              </w:rPr>
              <w:t xml:space="preserve">% </w:t>
            </w:r>
            <w:r>
              <w:rPr>
                <w:rFonts w:ascii="Arial" w:hAnsi="Arial" w:cs="Arial"/>
                <w:b/>
                <w:bCs/>
                <w:sz w:val="24"/>
                <w:szCs w:val="24"/>
              </w:rPr>
              <w:t xml:space="preserve">Reported </w:t>
            </w:r>
            <w:r w:rsidRPr="00791B66">
              <w:rPr>
                <w:rFonts w:ascii="Arial" w:hAnsi="Arial" w:cs="Arial"/>
                <w:b/>
                <w:bCs/>
                <w:sz w:val="24"/>
                <w:szCs w:val="24"/>
              </w:rPr>
              <w:t>Change</w:t>
            </w:r>
          </w:p>
        </w:tc>
        <w:tc>
          <w:tcPr>
            <w:tcW w:w="818" w:type="pct"/>
          </w:tcPr>
          <w:p w:rsidR="00071D62" w:rsidRDefault="00071D62">
            <w:pPr>
              <w:jc w:val="right"/>
              <w:rPr>
                <w:rFonts w:ascii="Arial" w:hAnsi="Arial" w:cs="Arial"/>
                <w:b/>
                <w:bCs/>
                <w:sz w:val="24"/>
                <w:szCs w:val="24"/>
              </w:rPr>
            </w:pPr>
            <w:r w:rsidRPr="00791B66">
              <w:rPr>
                <w:rFonts w:ascii="Arial" w:hAnsi="Arial" w:cs="Arial"/>
                <w:b/>
                <w:bCs/>
                <w:sz w:val="24"/>
                <w:szCs w:val="24"/>
              </w:rPr>
              <w:t>%</w:t>
            </w:r>
            <w:r>
              <w:rPr>
                <w:rFonts w:ascii="Arial" w:hAnsi="Arial" w:cs="Arial"/>
                <w:b/>
                <w:bCs/>
                <w:sz w:val="24"/>
                <w:szCs w:val="24"/>
              </w:rPr>
              <w:t xml:space="preserve"> Constant </w:t>
            </w:r>
            <w:r w:rsidRPr="00791B66">
              <w:rPr>
                <w:rFonts w:ascii="Arial" w:hAnsi="Arial" w:cs="Arial"/>
                <w:b/>
                <w:bCs/>
                <w:sz w:val="24"/>
                <w:szCs w:val="24"/>
              </w:rPr>
              <w:t>Change</w:t>
            </w:r>
          </w:p>
        </w:tc>
        <w:tc>
          <w:tcPr>
            <w:tcW w:w="542" w:type="pct"/>
          </w:tcPr>
          <w:p w:rsidR="00071D62" w:rsidRDefault="00071D62" w:rsidP="00701EEA">
            <w:pPr>
              <w:ind w:hanging="108"/>
              <w:jc w:val="right"/>
              <w:rPr>
                <w:rFonts w:ascii="Arial" w:hAnsi="Arial" w:cs="Arial"/>
                <w:b/>
                <w:bCs/>
                <w:sz w:val="24"/>
                <w:szCs w:val="24"/>
              </w:rPr>
            </w:pPr>
            <w:r w:rsidRPr="00791B66">
              <w:rPr>
                <w:rFonts w:ascii="Arial" w:hAnsi="Arial" w:cs="Arial"/>
                <w:b/>
                <w:bCs/>
                <w:sz w:val="24"/>
                <w:szCs w:val="24"/>
              </w:rPr>
              <w:t>% LFL</w:t>
            </w:r>
          </w:p>
          <w:p w:rsidR="00071D62" w:rsidRPr="00791B66" w:rsidRDefault="00071D62" w:rsidP="00701EEA">
            <w:pPr>
              <w:ind w:hanging="108"/>
              <w:jc w:val="right"/>
              <w:rPr>
                <w:rFonts w:ascii="Arial" w:hAnsi="Arial" w:cs="Arial"/>
                <w:b/>
                <w:bCs/>
                <w:sz w:val="24"/>
                <w:szCs w:val="24"/>
              </w:rPr>
            </w:pPr>
            <w:r>
              <w:rPr>
                <w:rFonts w:ascii="Arial" w:hAnsi="Arial" w:cs="Arial"/>
                <w:b/>
                <w:bCs/>
                <w:sz w:val="24"/>
                <w:szCs w:val="24"/>
              </w:rPr>
              <w:t>Change</w:t>
            </w:r>
          </w:p>
        </w:tc>
      </w:tr>
      <w:tr w:rsidR="00071D62" w:rsidRPr="00791B66">
        <w:trPr>
          <w:trHeight w:val="147"/>
        </w:trPr>
        <w:tc>
          <w:tcPr>
            <w:tcW w:w="1280" w:type="pct"/>
          </w:tcPr>
          <w:p w:rsidR="00071D62" w:rsidRPr="00791B66" w:rsidRDefault="00071D62" w:rsidP="00CE40EF">
            <w:pPr>
              <w:rPr>
                <w:rFonts w:ascii="Arial" w:hAnsi="Arial" w:cs="Arial"/>
                <w:sz w:val="24"/>
                <w:szCs w:val="24"/>
              </w:rPr>
            </w:pPr>
            <w:smartTag w:uri="urn:schemas-microsoft-com:office:smarttags" w:element="place">
              <w:smartTag w:uri="urn:schemas-microsoft-com:office:smarttags" w:element="country-region">
                <w:r w:rsidRPr="00791B66">
                  <w:rPr>
                    <w:rFonts w:ascii="Arial" w:hAnsi="Arial" w:cs="Arial"/>
                    <w:sz w:val="24"/>
                    <w:szCs w:val="24"/>
                  </w:rPr>
                  <w:t>France</w:t>
                </w:r>
              </w:smartTag>
            </w:smartTag>
          </w:p>
        </w:tc>
        <w:tc>
          <w:tcPr>
            <w:tcW w:w="793" w:type="pct"/>
          </w:tcPr>
          <w:p w:rsidR="00071D62" w:rsidRPr="00791B66" w:rsidRDefault="00071D62" w:rsidP="00701EEA">
            <w:pPr>
              <w:jc w:val="right"/>
              <w:rPr>
                <w:rFonts w:ascii="Arial" w:hAnsi="Arial" w:cs="Arial"/>
                <w:sz w:val="24"/>
                <w:szCs w:val="24"/>
              </w:rPr>
            </w:pPr>
            <w:r>
              <w:rPr>
                <w:rFonts w:ascii="Arial" w:hAnsi="Arial" w:cs="Arial"/>
                <w:sz w:val="24"/>
                <w:szCs w:val="24"/>
              </w:rPr>
              <w:t>2,341</w:t>
            </w:r>
          </w:p>
        </w:tc>
        <w:tc>
          <w:tcPr>
            <w:tcW w:w="659" w:type="pct"/>
          </w:tcPr>
          <w:p w:rsidR="00071D62" w:rsidRPr="00791B66" w:rsidRDefault="00071D62" w:rsidP="00701EEA">
            <w:pPr>
              <w:jc w:val="right"/>
              <w:rPr>
                <w:rFonts w:ascii="Arial" w:hAnsi="Arial" w:cs="Arial"/>
                <w:sz w:val="24"/>
                <w:szCs w:val="24"/>
              </w:rPr>
            </w:pPr>
            <w:r>
              <w:rPr>
                <w:rFonts w:ascii="Arial" w:hAnsi="Arial" w:cs="Arial"/>
                <w:sz w:val="24"/>
                <w:szCs w:val="24"/>
              </w:rPr>
              <w:t>2,185</w:t>
            </w:r>
          </w:p>
        </w:tc>
        <w:tc>
          <w:tcPr>
            <w:tcW w:w="908" w:type="pct"/>
          </w:tcPr>
          <w:p w:rsidR="00071D62" w:rsidRPr="00791B66" w:rsidRDefault="00071D62" w:rsidP="00701EEA">
            <w:pPr>
              <w:jc w:val="right"/>
              <w:rPr>
                <w:rFonts w:ascii="Arial" w:hAnsi="Arial" w:cs="Arial"/>
                <w:sz w:val="24"/>
                <w:szCs w:val="24"/>
              </w:rPr>
            </w:pPr>
            <w:r>
              <w:rPr>
                <w:rFonts w:ascii="Arial" w:hAnsi="Arial" w:cs="Arial"/>
                <w:sz w:val="24"/>
                <w:szCs w:val="24"/>
              </w:rPr>
              <w:t>7.1%</w:t>
            </w:r>
          </w:p>
        </w:tc>
        <w:tc>
          <w:tcPr>
            <w:tcW w:w="818" w:type="pct"/>
          </w:tcPr>
          <w:p w:rsidR="00071D62" w:rsidRPr="00791B66" w:rsidRDefault="00071D62" w:rsidP="00701EEA">
            <w:pPr>
              <w:jc w:val="right"/>
              <w:rPr>
                <w:rFonts w:ascii="Arial" w:hAnsi="Arial" w:cs="Arial"/>
                <w:sz w:val="24"/>
                <w:szCs w:val="24"/>
              </w:rPr>
            </w:pPr>
            <w:r>
              <w:rPr>
                <w:rFonts w:ascii="Arial" w:hAnsi="Arial" w:cs="Arial"/>
                <w:sz w:val="24"/>
                <w:szCs w:val="24"/>
              </w:rPr>
              <w:t>5.5%</w:t>
            </w:r>
          </w:p>
        </w:tc>
        <w:tc>
          <w:tcPr>
            <w:tcW w:w="542" w:type="pct"/>
          </w:tcPr>
          <w:p w:rsidR="00071D62" w:rsidRPr="00791B66" w:rsidRDefault="00071D62" w:rsidP="00701EEA">
            <w:pPr>
              <w:jc w:val="right"/>
              <w:rPr>
                <w:rFonts w:ascii="Arial" w:hAnsi="Arial" w:cs="Arial"/>
                <w:sz w:val="24"/>
                <w:szCs w:val="24"/>
              </w:rPr>
            </w:pPr>
            <w:r>
              <w:rPr>
                <w:rFonts w:ascii="Arial" w:hAnsi="Arial" w:cs="Arial"/>
                <w:sz w:val="24"/>
                <w:szCs w:val="24"/>
              </w:rPr>
              <w:t>4.5%</w:t>
            </w:r>
          </w:p>
        </w:tc>
      </w:tr>
    </w:tbl>
    <w:p w:rsidR="00071D62" w:rsidRPr="00791B66" w:rsidRDefault="00071D62" w:rsidP="00850001">
      <w:pPr>
        <w:rPr>
          <w:rFonts w:ascii="Arial" w:hAnsi="Arial" w:cs="Arial"/>
          <w:b/>
          <w:bCs/>
          <w:sz w:val="24"/>
          <w:szCs w:val="24"/>
        </w:rPr>
      </w:pPr>
    </w:p>
    <w:tbl>
      <w:tblPr>
        <w:tblW w:w="431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2"/>
        <w:gridCol w:w="1538"/>
        <w:gridCol w:w="1260"/>
        <w:gridCol w:w="1727"/>
        <w:gridCol w:w="1558"/>
      </w:tblGrid>
      <w:tr w:rsidR="00071D62" w:rsidRPr="00791B66">
        <w:tc>
          <w:tcPr>
            <w:tcW w:w="1424" w:type="pct"/>
          </w:tcPr>
          <w:p w:rsidR="00071D62" w:rsidRPr="00791B66" w:rsidRDefault="00071D62" w:rsidP="00CE40EF">
            <w:pPr>
              <w:rPr>
                <w:rFonts w:ascii="Arial" w:hAnsi="Arial" w:cs="Arial"/>
                <w:b/>
                <w:bCs/>
                <w:sz w:val="24"/>
                <w:szCs w:val="24"/>
              </w:rPr>
            </w:pPr>
            <w:r w:rsidRPr="00791B66">
              <w:rPr>
                <w:rFonts w:ascii="Arial" w:hAnsi="Arial" w:cs="Arial"/>
                <w:b/>
                <w:bCs/>
                <w:sz w:val="24"/>
                <w:szCs w:val="24"/>
              </w:rPr>
              <w:t>Retail profit £m</w:t>
            </w:r>
          </w:p>
        </w:tc>
        <w:tc>
          <w:tcPr>
            <w:tcW w:w="904" w:type="pct"/>
          </w:tcPr>
          <w:p w:rsidR="00071D62" w:rsidRPr="00791B66" w:rsidRDefault="00071D62" w:rsidP="00701EEA">
            <w:pPr>
              <w:jc w:val="right"/>
              <w:rPr>
                <w:rFonts w:ascii="Arial" w:hAnsi="Arial" w:cs="Arial"/>
                <w:b/>
                <w:bCs/>
                <w:sz w:val="24"/>
                <w:szCs w:val="24"/>
              </w:rPr>
            </w:pPr>
            <w:r w:rsidRPr="00791B66">
              <w:rPr>
                <w:rFonts w:ascii="Arial" w:hAnsi="Arial" w:cs="Arial"/>
                <w:b/>
                <w:bCs/>
                <w:sz w:val="24"/>
                <w:szCs w:val="24"/>
              </w:rPr>
              <w:t>201</w:t>
            </w:r>
            <w:r>
              <w:rPr>
                <w:rFonts w:ascii="Arial" w:hAnsi="Arial" w:cs="Arial"/>
                <w:b/>
                <w:bCs/>
                <w:sz w:val="24"/>
                <w:szCs w:val="24"/>
              </w:rPr>
              <w:t>1</w:t>
            </w:r>
            <w:r w:rsidRPr="00791B66">
              <w:rPr>
                <w:rFonts w:ascii="Arial" w:hAnsi="Arial" w:cs="Arial"/>
                <w:b/>
                <w:bCs/>
                <w:sz w:val="24"/>
                <w:szCs w:val="24"/>
              </w:rPr>
              <w:t>/1</w:t>
            </w:r>
            <w:r>
              <w:rPr>
                <w:rFonts w:ascii="Arial" w:hAnsi="Arial" w:cs="Arial"/>
                <w:b/>
                <w:bCs/>
                <w:sz w:val="24"/>
                <w:szCs w:val="24"/>
              </w:rPr>
              <w:t>2</w:t>
            </w:r>
          </w:p>
        </w:tc>
        <w:tc>
          <w:tcPr>
            <w:tcW w:w="741" w:type="pct"/>
          </w:tcPr>
          <w:p w:rsidR="00071D62" w:rsidRPr="00791B66" w:rsidRDefault="00071D62" w:rsidP="00701EEA">
            <w:pPr>
              <w:jc w:val="right"/>
              <w:rPr>
                <w:rFonts w:ascii="Arial" w:hAnsi="Arial" w:cs="Arial"/>
                <w:b/>
                <w:bCs/>
                <w:sz w:val="24"/>
                <w:szCs w:val="24"/>
              </w:rPr>
            </w:pPr>
            <w:r w:rsidRPr="00791B66">
              <w:rPr>
                <w:rFonts w:ascii="Arial" w:hAnsi="Arial" w:cs="Arial"/>
                <w:b/>
                <w:bCs/>
                <w:sz w:val="24"/>
                <w:szCs w:val="24"/>
              </w:rPr>
              <w:t>20</w:t>
            </w:r>
            <w:r>
              <w:rPr>
                <w:rFonts w:ascii="Arial" w:hAnsi="Arial" w:cs="Arial"/>
                <w:b/>
                <w:bCs/>
                <w:sz w:val="24"/>
                <w:szCs w:val="24"/>
              </w:rPr>
              <w:t>10</w:t>
            </w:r>
            <w:r w:rsidRPr="00791B66">
              <w:rPr>
                <w:rFonts w:ascii="Arial" w:hAnsi="Arial" w:cs="Arial"/>
                <w:b/>
                <w:bCs/>
                <w:sz w:val="24"/>
                <w:szCs w:val="24"/>
              </w:rPr>
              <w:t>/1</w:t>
            </w:r>
            <w:r>
              <w:rPr>
                <w:rFonts w:ascii="Arial" w:hAnsi="Arial" w:cs="Arial"/>
                <w:b/>
                <w:bCs/>
                <w:sz w:val="24"/>
                <w:szCs w:val="24"/>
              </w:rPr>
              <w:t>1</w:t>
            </w:r>
          </w:p>
        </w:tc>
        <w:tc>
          <w:tcPr>
            <w:tcW w:w="1015" w:type="pct"/>
          </w:tcPr>
          <w:p w:rsidR="00071D62" w:rsidRPr="00791B66" w:rsidRDefault="00071D62" w:rsidP="00701EEA">
            <w:pPr>
              <w:jc w:val="right"/>
              <w:rPr>
                <w:rFonts w:ascii="Arial" w:hAnsi="Arial" w:cs="Arial"/>
                <w:b/>
                <w:bCs/>
                <w:sz w:val="24"/>
                <w:szCs w:val="24"/>
              </w:rPr>
            </w:pPr>
            <w:r w:rsidRPr="00791B66">
              <w:rPr>
                <w:rFonts w:ascii="Arial" w:hAnsi="Arial" w:cs="Arial"/>
                <w:b/>
                <w:bCs/>
                <w:sz w:val="24"/>
                <w:szCs w:val="24"/>
              </w:rPr>
              <w:t xml:space="preserve">% </w:t>
            </w:r>
            <w:r>
              <w:rPr>
                <w:rFonts w:ascii="Arial" w:hAnsi="Arial" w:cs="Arial"/>
                <w:b/>
                <w:bCs/>
                <w:sz w:val="24"/>
                <w:szCs w:val="24"/>
              </w:rPr>
              <w:t xml:space="preserve">Reported </w:t>
            </w:r>
            <w:r w:rsidRPr="00791B66">
              <w:rPr>
                <w:rFonts w:ascii="Arial" w:hAnsi="Arial" w:cs="Arial"/>
                <w:b/>
                <w:bCs/>
                <w:sz w:val="24"/>
                <w:szCs w:val="24"/>
              </w:rPr>
              <w:t>Change</w:t>
            </w:r>
          </w:p>
        </w:tc>
        <w:tc>
          <w:tcPr>
            <w:tcW w:w="916" w:type="pct"/>
          </w:tcPr>
          <w:p w:rsidR="00071D62" w:rsidRPr="00791B66" w:rsidRDefault="00071D62" w:rsidP="00701EEA">
            <w:pPr>
              <w:jc w:val="right"/>
              <w:rPr>
                <w:rFonts w:ascii="Arial" w:hAnsi="Arial" w:cs="Arial"/>
                <w:b/>
                <w:bCs/>
                <w:sz w:val="24"/>
                <w:szCs w:val="24"/>
              </w:rPr>
            </w:pPr>
            <w:r w:rsidRPr="00791B66">
              <w:rPr>
                <w:rFonts w:ascii="Arial" w:hAnsi="Arial" w:cs="Arial"/>
                <w:b/>
                <w:bCs/>
                <w:sz w:val="24"/>
                <w:szCs w:val="24"/>
              </w:rPr>
              <w:t>%</w:t>
            </w:r>
            <w:r>
              <w:rPr>
                <w:rFonts w:ascii="Arial" w:hAnsi="Arial" w:cs="Arial"/>
                <w:b/>
                <w:bCs/>
                <w:sz w:val="24"/>
                <w:szCs w:val="24"/>
              </w:rPr>
              <w:t xml:space="preserve"> Constant</w:t>
            </w:r>
            <w:r w:rsidRPr="00791B66">
              <w:rPr>
                <w:rFonts w:ascii="Arial" w:hAnsi="Arial" w:cs="Arial"/>
                <w:b/>
                <w:bCs/>
                <w:sz w:val="24"/>
                <w:szCs w:val="24"/>
              </w:rPr>
              <w:t xml:space="preserve"> Change</w:t>
            </w:r>
          </w:p>
        </w:tc>
      </w:tr>
      <w:tr w:rsidR="00071D62" w:rsidRPr="00791B66">
        <w:tc>
          <w:tcPr>
            <w:tcW w:w="1424" w:type="pct"/>
          </w:tcPr>
          <w:p w:rsidR="00071D62" w:rsidRPr="00791B66" w:rsidRDefault="00071D62" w:rsidP="00CE40EF">
            <w:pPr>
              <w:rPr>
                <w:rFonts w:ascii="Arial" w:hAnsi="Arial" w:cs="Arial"/>
                <w:sz w:val="24"/>
                <w:szCs w:val="24"/>
              </w:rPr>
            </w:pPr>
            <w:smartTag w:uri="urn:schemas-microsoft-com:office:smarttags" w:element="place">
              <w:smartTag w:uri="urn:schemas-microsoft-com:office:smarttags" w:element="country-region">
                <w:r w:rsidRPr="00791B66">
                  <w:rPr>
                    <w:rFonts w:ascii="Arial" w:hAnsi="Arial" w:cs="Arial"/>
                    <w:sz w:val="24"/>
                    <w:szCs w:val="24"/>
                  </w:rPr>
                  <w:t>France</w:t>
                </w:r>
              </w:smartTag>
            </w:smartTag>
          </w:p>
        </w:tc>
        <w:tc>
          <w:tcPr>
            <w:tcW w:w="904" w:type="pct"/>
          </w:tcPr>
          <w:p w:rsidR="00071D62" w:rsidRPr="00791B66" w:rsidRDefault="00071D62" w:rsidP="00701EEA">
            <w:pPr>
              <w:jc w:val="right"/>
              <w:rPr>
                <w:rFonts w:ascii="Arial" w:hAnsi="Arial" w:cs="Arial"/>
                <w:sz w:val="24"/>
                <w:szCs w:val="24"/>
              </w:rPr>
            </w:pPr>
            <w:r>
              <w:rPr>
                <w:rFonts w:ascii="Arial" w:hAnsi="Arial" w:cs="Arial"/>
                <w:sz w:val="24"/>
                <w:szCs w:val="24"/>
              </w:rPr>
              <w:t>201</w:t>
            </w:r>
          </w:p>
        </w:tc>
        <w:tc>
          <w:tcPr>
            <w:tcW w:w="741" w:type="pct"/>
          </w:tcPr>
          <w:p w:rsidR="00071D62" w:rsidRPr="00791B66" w:rsidRDefault="00071D62" w:rsidP="00701EEA">
            <w:pPr>
              <w:jc w:val="right"/>
              <w:rPr>
                <w:rFonts w:ascii="Arial" w:hAnsi="Arial" w:cs="Arial"/>
                <w:sz w:val="24"/>
                <w:szCs w:val="24"/>
              </w:rPr>
            </w:pPr>
            <w:r>
              <w:rPr>
                <w:rFonts w:ascii="Arial" w:hAnsi="Arial" w:cs="Arial"/>
                <w:sz w:val="24"/>
                <w:szCs w:val="24"/>
              </w:rPr>
              <w:t>160</w:t>
            </w:r>
          </w:p>
        </w:tc>
        <w:tc>
          <w:tcPr>
            <w:tcW w:w="1015" w:type="pct"/>
          </w:tcPr>
          <w:p w:rsidR="00071D62" w:rsidRPr="00791B66" w:rsidRDefault="00071D62" w:rsidP="00701EEA">
            <w:pPr>
              <w:jc w:val="right"/>
              <w:rPr>
                <w:rFonts w:ascii="Arial" w:hAnsi="Arial" w:cs="Arial"/>
                <w:sz w:val="24"/>
                <w:szCs w:val="24"/>
              </w:rPr>
            </w:pPr>
            <w:r>
              <w:rPr>
                <w:rFonts w:ascii="Arial" w:hAnsi="Arial" w:cs="Arial"/>
                <w:sz w:val="24"/>
                <w:szCs w:val="24"/>
              </w:rPr>
              <w:t>25.8%</w:t>
            </w:r>
          </w:p>
        </w:tc>
        <w:tc>
          <w:tcPr>
            <w:tcW w:w="916" w:type="pct"/>
          </w:tcPr>
          <w:p w:rsidR="00071D62" w:rsidRPr="00791B66" w:rsidRDefault="00071D62" w:rsidP="00701EEA">
            <w:pPr>
              <w:jc w:val="right"/>
              <w:rPr>
                <w:rFonts w:ascii="Arial" w:hAnsi="Arial" w:cs="Arial"/>
                <w:sz w:val="24"/>
                <w:szCs w:val="24"/>
              </w:rPr>
            </w:pPr>
            <w:r>
              <w:rPr>
                <w:rFonts w:ascii="Arial" w:hAnsi="Arial" w:cs="Arial"/>
                <w:sz w:val="24"/>
                <w:szCs w:val="24"/>
              </w:rPr>
              <w:t>23.9%</w:t>
            </w:r>
          </w:p>
        </w:tc>
      </w:tr>
    </w:tbl>
    <w:p w:rsidR="00071D62" w:rsidRPr="00791B66" w:rsidRDefault="00071D62" w:rsidP="001844E0">
      <w:pPr>
        <w:jc w:val="left"/>
        <w:rPr>
          <w:rFonts w:ascii="Arial" w:hAnsi="Arial" w:cs="Arial"/>
          <w:color w:val="FF0000"/>
          <w:sz w:val="24"/>
          <w:szCs w:val="24"/>
        </w:rPr>
      </w:pPr>
    </w:p>
    <w:p w:rsidR="00071D62" w:rsidRDefault="00071D62" w:rsidP="00217BC0">
      <w:pPr>
        <w:jc w:val="left"/>
        <w:rPr>
          <w:rFonts w:ascii="Arial" w:hAnsi="Arial" w:cs="Arial"/>
          <w:i/>
          <w:iCs/>
          <w:sz w:val="18"/>
          <w:szCs w:val="18"/>
        </w:rPr>
      </w:pPr>
      <w:smartTag w:uri="urn:schemas-microsoft-com:office:smarttags" w:element="place">
        <w:smartTag w:uri="urn:schemas-microsoft-com:office:smarttags" w:element="country-region">
          <w:r w:rsidRPr="002A79FF">
            <w:rPr>
              <w:rFonts w:ascii="Arial" w:hAnsi="Arial" w:cs="Arial"/>
              <w:i/>
              <w:iCs/>
              <w:sz w:val="18"/>
              <w:szCs w:val="18"/>
            </w:rPr>
            <w:t>France</w:t>
          </w:r>
        </w:smartTag>
      </w:smartTag>
      <w:r w:rsidRPr="002A79FF">
        <w:rPr>
          <w:rFonts w:ascii="Arial" w:hAnsi="Arial" w:cs="Arial"/>
          <w:i/>
          <w:iCs/>
          <w:sz w:val="18"/>
          <w:szCs w:val="18"/>
        </w:rPr>
        <w:t xml:space="preserve"> includes Castorama and Brico Dépô</w:t>
      </w:r>
      <w:r>
        <w:rPr>
          <w:rFonts w:ascii="Arial" w:hAnsi="Arial" w:cs="Arial"/>
          <w:i/>
          <w:iCs/>
          <w:sz w:val="18"/>
          <w:szCs w:val="18"/>
        </w:rPr>
        <w:t>t</w:t>
      </w:r>
    </w:p>
    <w:p w:rsidR="00071D62" w:rsidRDefault="00071D62" w:rsidP="00217BC0">
      <w:pPr>
        <w:jc w:val="left"/>
        <w:rPr>
          <w:rFonts w:ascii="Arial" w:hAnsi="Arial" w:cs="Arial"/>
          <w:i/>
          <w:iCs/>
          <w:sz w:val="18"/>
          <w:szCs w:val="18"/>
        </w:rPr>
      </w:pPr>
      <w:r w:rsidRPr="00224FE9">
        <w:rPr>
          <w:rFonts w:ascii="Arial" w:hAnsi="Arial" w:cs="Arial"/>
          <w:i/>
          <w:iCs/>
          <w:sz w:val="18"/>
          <w:szCs w:val="18"/>
        </w:rPr>
        <w:t>2011/12: £1 = 1.14 euro (2010/11: 1.16 euro)</w:t>
      </w:r>
      <w:r w:rsidRPr="00224FE9">
        <w:rPr>
          <w:rFonts w:ascii="Arial" w:hAnsi="Arial" w:cs="Arial"/>
          <w:sz w:val="18"/>
          <w:szCs w:val="18"/>
        </w:rPr>
        <w:t> </w:t>
      </w:r>
    </w:p>
    <w:p w:rsidR="00071D62" w:rsidRPr="002A79FF" w:rsidRDefault="00071D62" w:rsidP="001844E0">
      <w:pPr>
        <w:jc w:val="left"/>
        <w:rPr>
          <w:rFonts w:ascii="Arial" w:hAnsi="Arial" w:cs="Arial"/>
          <w:b/>
          <w:bCs/>
          <w:i/>
          <w:iCs/>
          <w:sz w:val="18"/>
          <w:szCs w:val="18"/>
        </w:rPr>
      </w:pPr>
      <w:r w:rsidRPr="002A79FF">
        <w:rPr>
          <w:rFonts w:ascii="Arial" w:hAnsi="Arial" w:cs="Arial"/>
          <w:b/>
          <w:bCs/>
          <w:i/>
          <w:iCs/>
          <w:sz w:val="18"/>
          <w:szCs w:val="18"/>
        </w:rPr>
        <w:t>All trading commentary below is in constant currencies</w:t>
      </w:r>
    </w:p>
    <w:p w:rsidR="00071D62" w:rsidRPr="00791B66" w:rsidRDefault="00071D62" w:rsidP="001844E0">
      <w:pPr>
        <w:jc w:val="left"/>
        <w:rPr>
          <w:rFonts w:ascii="Arial" w:hAnsi="Arial" w:cs="Arial"/>
          <w:sz w:val="24"/>
          <w:szCs w:val="24"/>
          <w:highlight w:val="yellow"/>
        </w:rPr>
      </w:pPr>
    </w:p>
    <w:p w:rsidR="00071D62" w:rsidRPr="00791B66" w:rsidRDefault="00071D62" w:rsidP="002938BD">
      <w:pPr>
        <w:jc w:val="left"/>
        <w:rPr>
          <w:rFonts w:ascii="Arial" w:hAnsi="Arial" w:cs="Arial"/>
          <w:b/>
          <w:bCs/>
          <w:sz w:val="24"/>
          <w:szCs w:val="24"/>
        </w:rPr>
      </w:pPr>
      <w:r w:rsidRPr="00791B66">
        <w:rPr>
          <w:rFonts w:ascii="Arial" w:hAnsi="Arial" w:cs="Arial"/>
          <w:b/>
          <w:bCs/>
          <w:sz w:val="24"/>
          <w:szCs w:val="24"/>
        </w:rPr>
        <w:t xml:space="preserve">Kingfisher </w:t>
      </w:r>
      <w:smartTag w:uri="urn:schemas-microsoft-com:office:smarttags" w:element="place">
        <w:smartTag w:uri="urn:schemas-microsoft-com:office:smarttags" w:element="country-region">
          <w:r w:rsidRPr="00791B66">
            <w:rPr>
              <w:rFonts w:ascii="Arial" w:hAnsi="Arial" w:cs="Arial"/>
              <w:b/>
              <w:bCs/>
              <w:sz w:val="24"/>
              <w:szCs w:val="24"/>
            </w:rPr>
            <w:t>France</w:t>
          </w:r>
        </w:smartTag>
      </w:smartTag>
    </w:p>
    <w:p w:rsidR="00071D62" w:rsidRPr="00791B66" w:rsidRDefault="00071D62" w:rsidP="002938BD">
      <w:pPr>
        <w:jc w:val="left"/>
        <w:rPr>
          <w:rFonts w:ascii="Arial" w:hAnsi="Arial" w:cs="Arial"/>
          <w:b/>
          <w:bCs/>
          <w:sz w:val="24"/>
          <w:szCs w:val="24"/>
          <w:highlight w:val="yellow"/>
        </w:rPr>
      </w:pPr>
    </w:p>
    <w:p w:rsidR="00071D62" w:rsidRPr="00791B66" w:rsidRDefault="00071D62" w:rsidP="002938BD">
      <w:pPr>
        <w:jc w:val="left"/>
        <w:rPr>
          <w:rFonts w:ascii="Arial" w:hAnsi="Arial" w:cs="Arial"/>
          <w:sz w:val="24"/>
          <w:szCs w:val="24"/>
        </w:rPr>
      </w:pPr>
      <w:r w:rsidRPr="00791B66">
        <w:rPr>
          <w:rFonts w:ascii="Arial" w:hAnsi="Arial" w:cs="Arial"/>
          <w:sz w:val="24"/>
          <w:szCs w:val="24"/>
        </w:rPr>
        <w:t xml:space="preserve">Kingfisher </w:t>
      </w:r>
      <w:smartTag w:uri="urn:schemas-microsoft-com:office:smarttags" w:element="place">
        <w:smartTag w:uri="urn:schemas-microsoft-com:office:smarttags" w:element="country-region">
          <w:r w:rsidRPr="00791B66">
            <w:rPr>
              <w:rFonts w:ascii="Arial" w:hAnsi="Arial" w:cs="Arial"/>
              <w:sz w:val="24"/>
              <w:szCs w:val="24"/>
            </w:rPr>
            <w:t>France</w:t>
          </w:r>
        </w:smartTag>
      </w:smartTag>
      <w:r w:rsidRPr="00791B66">
        <w:rPr>
          <w:rFonts w:ascii="Arial" w:hAnsi="Arial" w:cs="Arial"/>
          <w:sz w:val="24"/>
          <w:szCs w:val="24"/>
        </w:rPr>
        <w:t xml:space="preserve"> </w:t>
      </w:r>
      <w:r>
        <w:rPr>
          <w:rFonts w:ascii="Arial" w:hAnsi="Arial" w:cs="Arial"/>
          <w:sz w:val="24"/>
          <w:szCs w:val="24"/>
        </w:rPr>
        <w:t xml:space="preserve">continued to </w:t>
      </w:r>
      <w:r w:rsidRPr="00791B66">
        <w:rPr>
          <w:rFonts w:ascii="Arial" w:hAnsi="Arial" w:cs="Arial"/>
          <w:sz w:val="24"/>
          <w:szCs w:val="24"/>
        </w:rPr>
        <w:t xml:space="preserve">outperform the market with self-help initiatives driving sales ahead </w:t>
      </w:r>
      <w:r>
        <w:rPr>
          <w:rFonts w:ascii="Arial" w:hAnsi="Arial" w:cs="Arial"/>
          <w:sz w:val="24"/>
          <w:szCs w:val="24"/>
        </w:rPr>
        <w:t>5.5</w:t>
      </w:r>
      <w:r w:rsidRPr="00791B66">
        <w:rPr>
          <w:rFonts w:ascii="Arial" w:hAnsi="Arial" w:cs="Arial"/>
          <w:sz w:val="24"/>
          <w:szCs w:val="24"/>
        </w:rPr>
        <w:t xml:space="preserve">% to </w:t>
      </w:r>
      <w:r>
        <w:rPr>
          <w:rFonts w:ascii="Arial" w:hAnsi="Arial" w:cs="Arial"/>
          <w:sz w:val="24"/>
          <w:szCs w:val="24"/>
        </w:rPr>
        <w:t>£2</w:t>
      </w:r>
      <w:r w:rsidRPr="00791B66">
        <w:rPr>
          <w:rFonts w:ascii="Arial" w:hAnsi="Arial" w:cs="Arial"/>
          <w:sz w:val="24"/>
          <w:szCs w:val="24"/>
        </w:rPr>
        <w:t>.</w:t>
      </w:r>
      <w:r>
        <w:rPr>
          <w:rFonts w:ascii="Arial" w:hAnsi="Arial" w:cs="Arial"/>
          <w:sz w:val="24"/>
          <w:szCs w:val="24"/>
        </w:rPr>
        <w:t>3</w:t>
      </w:r>
      <w:r w:rsidRPr="00791B66">
        <w:rPr>
          <w:rFonts w:ascii="Arial" w:hAnsi="Arial" w:cs="Arial"/>
          <w:sz w:val="24"/>
          <w:szCs w:val="24"/>
        </w:rPr>
        <w:t xml:space="preserve"> billion (+</w:t>
      </w:r>
      <w:r>
        <w:rPr>
          <w:rFonts w:ascii="Arial" w:hAnsi="Arial" w:cs="Arial"/>
          <w:sz w:val="24"/>
          <w:szCs w:val="24"/>
        </w:rPr>
        <w:t>4.5</w:t>
      </w:r>
      <w:r w:rsidRPr="00791B66">
        <w:rPr>
          <w:rFonts w:ascii="Arial" w:hAnsi="Arial" w:cs="Arial"/>
          <w:sz w:val="24"/>
          <w:szCs w:val="24"/>
        </w:rPr>
        <w:t>% LF</w:t>
      </w:r>
      <w:r>
        <w:rPr>
          <w:rFonts w:ascii="Arial" w:hAnsi="Arial" w:cs="Arial"/>
          <w:sz w:val="24"/>
          <w:szCs w:val="24"/>
        </w:rPr>
        <w:t>L</w:t>
      </w:r>
      <w:r w:rsidRPr="00791B66">
        <w:rPr>
          <w:rFonts w:ascii="Arial" w:hAnsi="Arial" w:cs="Arial"/>
          <w:sz w:val="24"/>
          <w:szCs w:val="24"/>
        </w:rPr>
        <w:t xml:space="preserve">). </w:t>
      </w:r>
      <w:r>
        <w:rPr>
          <w:rFonts w:ascii="Arial" w:hAnsi="Arial" w:cs="Arial"/>
          <w:sz w:val="24"/>
          <w:szCs w:val="24"/>
        </w:rPr>
        <w:t xml:space="preserve">According to provisional Banque de France data, sales for the home improvement market </w:t>
      </w:r>
      <w:r w:rsidRPr="002461B0">
        <w:rPr>
          <w:rStyle w:val="Emphasis"/>
          <w:rFonts w:ascii="Helvetica" w:hAnsi="Helvetica" w:cs="Helvetica"/>
          <w:sz w:val="24"/>
          <w:szCs w:val="24"/>
          <w:vertAlign w:val="superscript"/>
        </w:rPr>
        <w:t>(1)</w:t>
      </w:r>
      <w:r w:rsidRPr="002461B0">
        <w:rPr>
          <w:rFonts w:ascii="Arial" w:hAnsi="Arial" w:cs="Arial"/>
          <w:sz w:val="24"/>
          <w:szCs w:val="24"/>
        </w:rPr>
        <w:t xml:space="preserve"> </w:t>
      </w:r>
      <w:r>
        <w:rPr>
          <w:rFonts w:ascii="Arial" w:hAnsi="Arial" w:cs="Arial"/>
          <w:sz w:val="24"/>
          <w:szCs w:val="24"/>
        </w:rPr>
        <w:t xml:space="preserve">were up 2.8%. </w:t>
      </w:r>
      <w:r w:rsidRPr="00791B66">
        <w:rPr>
          <w:rFonts w:ascii="Arial" w:hAnsi="Arial" w:cs="Arial"/>
          <w:sz w:val="24"/>
          <w:szCs w:val="24"/>
        </w:rPr>
        <w:t xml:space="preserve">Across the two businesses, </w:t>
      </w:r>
      <w:r>
        <w:rPr>
          <w:rFonts w:ascii="Arial" w:hAnsi="Arial" w:cs="Arial"/>
          <w:sz w:val="24"/>
          <w:szCs w:val="24"/>
        </w:rPr>
        <w:t>one</w:t>
      </w:r>
      <w:r w:rsidRPr="00791B66">
        <w:rPr>
          <w:rFonts w:ascii="Arial" w:hAnsi="Arial" w:cs="Arial"/>
          <w:sz w:val="24"/>
          <w:szCs w:val="24"/>
        </w:rPr>
        <w:t xml:space="preserve"> new store w</w:t>
      </w:r>
      <w:r>
        <w:rPr>
          <w:rFonts w:ascii="Arial" w:hAnsi="Arial" w:cs="Arial"/>
          <w:sz w:val="24"/>
          <w:szCs w:val="24"/>
        </w:rPr>
        <w:t>as</w:t>
      </w:r>
      <w:r w:rsidRPr="00791B66">
        <w:rPr>
          <w:rFonts w:ascii="Arial" w:hAnsi="Arial" w:cs="Arial"/>
          <w:sz w:val="24"/>
          <w:szCs w:val="24"/>
        </w:rPr>
        <w:t xml:space="preserve"> opened</w:t>
      </w:r>
      <w:r>
        <w:rPr>
          <w:rFonts w:ascii="Arial" w:hAnsi="Arial" w:cs="Arial"/>
          <w:sz w:val="24"/>
          <w:szCs w:val="24"/>
        </w:rPr>
        <w:t>, two were relocated and one</w:t>
      </w:r>
      <w:r w:rsidRPr="00791B66">
        <w:rPr>
          <w:rFonts w:ascii="Arial" w:hAnsi="Arial" w:cs="Arial"/>
          <w:sz w:val="24"/>
          <w:szCs w:val="24"/>
        </w:rPr>
        <w:t xml:space="preserve"> revamped, adding around </w:t>
      </w:r>
      <w:r>
        <w:rPr>
          <w:rFonts w:ascii="Arial" w:hAnsi="Arial" w:cs="Arial"/>
          <w:sz w:val="24"/>
          <w:szCs w:val="24"/>
        </w:rPr>
        <w:t>1</w:t>
      </w:r>
      <w:r w:rsidRPr="00791B66">
        <w:rPr>
          <w:rFonts w:ascii="Arial" w:hAnsi="Arial" w:cs="Arial"/>
          <w:sz w:val="24"/>
          <w:szCs w:val="24"/>
        </w:rPr>
        <w:t>% new space.</w:t>
      </w:r>
    </w:p>
    <w:p w:rsidR="00071D62" w:rsidRPr="00791B66" w:rsidRDefault="00071D62" w:rsidP="001844E0">
      <w:pPr>
        <w:jc w:val="left"/>
        <w:rPr>
          <w:rFonts w:ascii="Arial" w:hAnsi="Arial" w:cs="Arial"/>
          <w:sz w:val="24"/>
          <w:szCs w:val="24"/>
          <w:highlight w:val="yellow"/>
        </w:rPr>
      </w:pPr>
    </w:p>
    <w:p w:rsidR="00071D62" w:rsidRPr="00791B66" w:rsidRDefault="00071D62" w:rsidP="009E0259">
      <w:pPr>
        <w:jc w:val="left"/>
        <w:rPr>
          <w:rFonts w:ascii="Arial" w:hAnsi="Arial" w:cs="Arial"/>
          <w:sz w:val="24"/>
          <w:szCs w:val="24"/>
        </w:rPr>
      </w:pPr>
      <w:r w:rsidRPr="00791B66">
        <w:rPr>
          <w:rFonts w:ascii="Arial" w:hAnsi="Arial" w:cs="Arial"/>
          <w:sz w:val="24"/>
          <w:szCs w:val="24"/>
        </w:rPr>
        <w:t xml:space="preserve">Retail profit </w:t>
      </w:r>
      <w:r>
        <w:rPr>
          <w:rFonts w:ascii="Arial" w:hAnsi="Arial" w:cs="Arial"/>
          <w:sz w:val="24"/>
          <w:szCs w:val="24"/>
        </w:rPr>
        <w:t>grew 23.9</w:t>
      </w:r>
      <w:r w:rsidRPr="00791B66">
        <w:rPr>
          <w:rFonts w:ascii="Arial" w:hAnsi="Arial" w:cs="Arial"/>
          <w:sz w:val="24"/>
          <w:szCs w:val="24"/>
        </w:rPr>
        <w:t xml:space="preserve">% </w:t>
      </w:r>
      <w:r>
        <w:rPr>
          <w:rFonts w:ascii="Arial" w:hAnsi="Arial" w:cs="Arial"/>
          <w:sz w:val="24"/>
          <w:szCs w:val="24"/>
        </w:rPr>
        <w:t>driven by</w:t>
      </w:r>
      <w:r w:rsidRPr="00791B66">
        <w:rPr>
          <w:rFonts w:ascii="Arial" w:hAnsi="Arial" w:cs="Arial"/>
          <w:sz w:val="24"/>
          <w:szCs w:val="24"/>
        </w:rPr>
        <w:t xml:space="preserve"> the </w:t>
      </w:r>
      <w:r>
        <w:rPr>
          <w:rFonts w:ascii="Arial" w:hAnsi="Arial" w:cs="Arial"/>
          <w:sz w:val="24"/>
          <w:szCs w:val="24"/>
        </w:rPr>
        <w:t xml:space="preserve">strong </w:t>
      </w:r>
      <w:r w:rsidRPr="00791B66">
        <w:rPr>
          <w:rFonts w:ascii="Arial" w:hAnsi="Arial" w:cs="Arial"/>
          <w:sz w:val="24"/>
          <w:szCs w:val="24"/>
        </w:rPr>
        <w:t>sales growth and higher gross margins (+1</w:t>
      </w:r>
      <w:r>
        <w:rPr>
          <w:rFonts w:ascii="Arial" w:hAnsi="Arial" w:cs="Arial"/>
          <w:sz w:val="24"/>
          <w:szCs w:val="24"/>
        </w:rPr>
        <w:t>3</w:t>
      </w:r>
      <w:r w:rsidRPr="00791B66">
        <w:rPr>
          <w:rFonts w:ascii="Arial" w:hAnsi="Arial" w:cs="Arial"/>
          <w:sz w:val="24"/>
          <w:szCs w:val="24"/>
        </w:rPr>
        <w:t>0 basis points) from increase</w:t>
      </w:r>
      <w:r>
        <w:rPr>
          <w:rFonts w:ascii="Arial" w:hAnsi="Arial" w:cs="Arial"/>
          <w:sz w:val="24"/>
          <w:szCs w:val="24"/>
        </w:rPr>
        <w:t>d</w:t>
      </w:r>
      <w:r w:rsidRPr="00791B66">
        <w:rPr>
          <w:rFonts w:ascii="Arial" w:hAnsi="Arial" w:cs="Arial"/>
          <w:sz w:val="24"/>
          <w:szCs w:val="24"/>
        </w:rPr>
        <w:t xml:space="preserve"> direct sourcing</w:t>
      </w:r>
      <w:r>
        <w:rPr>
          <w:rFonts w:ascii="Arial" w:hAnsi="Arial" w:cs="Arial"/>
          <w:sz w:val="24"/>
          <w:szCs w:val="24"/>
        </w:rPr>
        <w:t xml:space="preserve"> and </w:t>
      </w:r>
      <w:r w:rsidRPr="00791B66">
        <w:rPr>
          <w:rFonts w:ascii="Arial" w:hAnsi="Arial" w:cs="Arial"/>
          <w:sz w:val="24"/>
          <w:szCs w:val="24"/>
        </w:rPr>
        <w:t>continued buying optimisation benefits</w:t>
      </w:r>
      <w:r>
        <w:rPr>
          <w:rFonts w:ascii="Arial" w:hAnsi="Arial" w:cs="Arial"/>
          <w:sz w:val="24"/>
          <w:szCs w:val="24"/>
        </w:rPr>
        <w:t>.</w:t>
      </w:r>
    </w:p>
    <w:p w:rsidR="00071D62" w:rsidRPr="00791B66" w:rsidRDefault="00071D62" w:rsidP="001844E0">
      <w:pPr>
        <w:jc w:val="left"/>
        <w:rPr>
          <w:rFonts w:ascii="Arial" w:hAnsi="Arial" w:cs="Arial"/>
          <w:sz w:val="24"/>
          <w:szCs w:val="24"/>
        </w:rPr>
      </w:pPr>
    </w:p>
    <w:p w:rsidR="00071D62" w:rsidRPr="00791B66" w:rsidRDefault="00071D62" w:rsidP="001844E0">
      <w:pPr>
        <w:jc w:val="left"/>
        <w:rPr>
          <w:rFonts w:ascii="Arial" w:hAnsi="Arial" w:cs="Arial"/>
          <w:sz w:val="24"/>
          <w:szCs w:val="24"/>
        </w:rPr>
      </w:pPr>
      <w:r w:rsidRPr="00791B66">
        <w:rPr>
          <w:rFonts w:ascii="Arial" w:hAnsi="Arial" w:cs="Arial"/>
          <w:b/>
          <w:bCs/>
          <w:sz w:val="24"/>
          <w:szCs w:val="24"/>
        </w:rPr>
        <w:t>Castorama</w:t>
      </w:r>
      <w:r w:rsidRPr="00791B66">
        <w:rPr>
          <w:rFonts w:ascii="Arial" w:hAnsi="Arial" w:cs="Arial"/>
          <w:sz w:val="24"/>
          <w:szCs w:val="24"/>
        </w:rPr>
        <w:t xml:space="preserve"> </w:t>
      </w:r>
      <w:r>
        <w:rPr>
          <w:rFonts w:ascii="Arial" w:hAnsi="Arial" w:cs="Arial"/>
          <w:sz w:val="24"/>
          <w:szCs w:val="24"/>
        </w:rPr>
        <w:t>total sales grew by 4.2% to £1.3</w:t>
      </w:r>
      <w:r w:rsidRPr="00791B66">
        <w:rPr>
          <w:rFonts w:ascii="Arial" w:hAnsi="Arial" w:cs="Arial"/>
          <w:sz w:val="24"/>
          <w:szCs w:val="24"/>
        </w:rPr>
        <w:t xml:space="preserve"> billion (</w:t>
      </w:r>
      <w:r>
        <w:rPr>
          <w:rFonts w:ascii="Arial" w:hAnsi="Arial" w:cs="Arial"/>
          <w:sz w:val="24"/>
          <w:szCs w:val="24"/>
        </w:rPr>
        <w:t>+4.0</w:t>
      </w:r>
      <w:r w:rsidRPr="00791B66">
        <w:rPr>
          <w:rFonts w:ascii="Arial" w:hAnsi="Arial" w:cs="Arial"/>
          <w:sz w:val="24"/>
          <w:szCs w:val="24"/>
        </w:rPr>
        <w:t>% LFL</w:t>
      </w:r>
      <w:r>
        <w:rPr>
          <w:rFonts w:ascii="Arial" w:hAnsi="Arial" w:cs="Arial"/>
          <w:sz w:val="24"/>
          <w:szCs w:val="24"/>
        </w:rPr>
        <w:t xml:space="preserve">) supported by continued progress with the store </w:t>
      </w:r>
      <w:r w:rsidRPr="00791B66">
        <w:rPr>
          <w:rFonts w:ascii="Arial" w:hAnsi="Arial" w:cs="Arial"/>
          <w:sz w:val="24"/>
          <w:szCs w:val="24"/>
        </w:rPr>
        <w:t>modernisation programme</w:t>
      </w:r>
      <w:r>
        <w:rPr>
          <w:rFonts w:ascii="Arial" w:hAnsi="Arial" w:cs="Arial"/>
          <w:sz w:val="24"/>
          <w:szCs w:val="24"/>
        </w:rPr>
        <w:t xml:space="preserve"> (66</w:t>
      </w:r>
      <w:r w:rsidRPr="00791B66">
        <w:rPr>
          <w:rFonts w:ascii="Arial" w:hAnsi="Arial" w:cs="Arial"/>
          <w:sz w:val="24"/>
          <w:szCs w:val="24"/>
        </w:rPr>
        <w:t xml:space="preserve">% of total selling space now completed), new range introductions and the </w:t>
      </w:r>
      <w:r>
        <w:rPr>
          <w:rFonts w:ascii="Arial" w:hAnsi="Arial" w:cs="Arial"/>
          <w:sz w:val="24"/>
          <w:szCs w:val="24"/>
        </w:rPr>
        <w:t>innovative</w:t>
      </w:r>
      <w:r w:rsidRPr="00791B66">
        <w:rPr>
          <w:rFonts w:ascii="Arial" w:hAnsi="Arial" w:cs="Arial"/>
          <w:sz w:val="24"/>
          <w:szCs w:val="24"/>
        </w:rPr>
        <w:t xml:space="preserve"> ‘Do-it-Smart’ marketing campaign aimed at making home improvement projects easier for customers.</w:t>
      </w:r>
    </w:p>
    <w:p w:rsidR="00071D62" w:rsidRPr="00791B66" w:rsidRDefault="00071D62" w:rsidP="001844E0">
      <w:pPr>
        <w:jc w:val="left"/>
        <w:rPr>
          <w:rFonts w:ascii="Arial" w:hAnsi="Arial" w:cs="Arial"/>
          <w:sz w:val="24"/>
          <w:szCs w:val="24"/>
        </w:rPr>
      </w:pPr>
    </w:p>
    <w:p w:rsidR="00071D62" w:rsidRDefault="00071D62" w:rsidP="001844E0">
      <w:pPr>
        <w:jc w:val="left"/>
        <w:rPr>
          <w:rFonts w:ascii="Arial" w:hAnsi="Arial" w:cs="Arial"/>
          <w:sz w:val="24"/>
          <w:szCs w:val="24"/>
        </w:rPr>
      </w:pPr>
      <w:r>
        <w:rPr>
          <w:rFonts w:ascii="Arial" w:hAnsi="Arial" w:cs="Arial"/>
          <w:sz w:val="24"/>
          <w:szCs w:val="24"/>
        </w:rPr>
        <w:t>Seasonal sales were up around 2% boosted by new garden furniture, barbecue and outdoor lighting ranges. Non-seasonal sales were up over 4% with sales of new decorative, bathroom and flooring ranges, supported by new catalogues, performing particularly well.</w:t>
      </w:r>
    </w:p>
    <w:p w:rsidR="00071D62" w:rsidRPr="00791B66" w:rsidRDefault="00071D62" w:rsidP="001844E0">
      <w:pPr>
        <w:jc w:val="left"/>
        <w:rPr>
          <w:rFonts w:ascii="Arial" w:hAnsi="Arial" w:cs="Arial"/>
          <w:sz w:val="24"/>
          <w:szCs w:val="24"/>
        </w:rPr>
      </w:pPr>
    </w:p>
    <w:p w:rsidR="00071D62" w:rsidRPr="00791B66" w:rsidRDefault="00071D62" w:rsidP="009E0259">
      <w:pPr>
        <w:jc w:val="left"/>
        <w:rPr>
          <w:rFonts w:ascii="Arial" w:hAnsi="Arial" w:cs="Arial"/>
          <w:sz w:val="24"/>
          <w:szCs w:val="24"/>
        </w:rPr>
      </w:pPr>
      <w:r w:rsidRPr="00791B66">
        <w:rPr>
          <w:rFonts w:ascii="Arial" w:hAnsi="Arial" w:cs="Arial"/>
          <w:b/>
          <w:bCs/>
          <w:sz w:val="24"/>
          <w:szCs w:val="24"/>
        </w:rPr>
        <w:t>Brico Dépôt</w:t>
      </w:r>
      <w:r w:rsidRPr="00791B66">
        <w:rPr>
          <w:rFonts w:ascii="Arial" w:hAnsi="Arial" w:cs="Arial"/>
          <w:sz w:val="24"/>
          <w:szCs w:val="24"/>
        </w:rPr>
        <w:t>, which more specifically</w:t>
      </w:r>
      <w:r w:rsidRPr="00791B66">
        <w:rPr>
          <w:rFonts w:ascii="Arial" w:hAnsi="Arial" w:cs="Arial"/>
          <w:b/>
          <w:bCs/>
          <w:sz w:val="24"/>
          <w:szCs w:val="24"/>
        </w:rPr>
        <w:t xml:space="preserve"> </w:t>
      </w:r>
      <w:r w:rsidRPr="00791B66">
        <w:rPr>
          <w:rFonts w:ascii="Arial" w:hAnsi="Arial" w:cs="Arial"/>
          <w:sz w:val="24"/>
          <w:szCs w:val="24"/>
        </w:rPr>
        <w:t xml:space="preserve">targets the trade professional, delivered total sales growth of </w:t>
      </w:r>
      <w:r>
        <w:rPr>
          <w:rFonts w:ascii="Arial" w:hAnsi="Arial" w:cs="Arial"/>
          <w:sz w:val="24"/>
          <w:szCs w:val="24"/>
        </w:rPr>
        <w:t>7.1</w:t>
      </w:r>
      <w:r w:rsidRPr="00791B66">
        <w:rPr>
          <w:rFonts w:ascii="Arial" w:hAnsi="Arial" w:cs="Arial"/>
          <w:sz w:val="24"/>
          <w:szCs w:val="24"/>
        </w:rPr>
        <w:t>% to £</w:t>
      </w:r>
      <w:r>
        <w:rPr>
          <w:rFonts w:ascii="Arial" w:hAnsi="Arial" w:cs="Arial"/>
          <w:sz w:val="24"/>
          <w:szCs w:val="24"/>
        </w:rPr>
        <w:t>1.1</w:t>
      </w:r>
      <w:r w:rsidRPr="00791B66">
        <w:rPr>
          <w:rFonts w:ascii="Arial" w:hAnsi="Arial" w:cs="Arial"/>
          <w:sz w:val="24"/>
          <w:szCs w:val="24"/>
        </w:rPr>
        <w:t xml:space="preserve"> billion (</w:t>
      </w:r>
      <w:r>
        <w:rPr>
          <w:rFonts w:ascii="Arial" w:hAnsi="Arial" w:cs="Arial"/>
          <w:sz w:val="24"/>
          <w:szCs w:val="24"/>
        </w:rPr>
        <w:t>+5.0</w:t>
      </w:r>
      <w:r w:rsidRPr="00791B66">
        <w:rPr>
          <w:rFonts w:ascii="Arial" w:hAnsi="Arial" w:cs="Arial"/>
          <w:sz w:val="24"/>
          <w:szCs w:val="24"/>
        </w:rPr>
        <w:t xml:space="preserve">% LFL). </w:t>
      </w:r>
      <w:r>
        <w:rPr>
          <w:rFonts w:ascii="Arial" w:hAnsi="Arial" w:cs="Arial"/>
          <w:sz w:val="24"/>
          <w:szCs w:val="24"/>
        </w:rPr>
        <w:t xml:space="preserve">The trade market </w:t>
      </w:r>
      <w:r>
        <w:rPr>
          <w:rStyle w:val="Emphasis"/>
          <w:rFonts w:ascii="Helvetica" w:hAnsi="Helvetica" w:cs="Helvetica"/>
          <w:sz w:val="24"/>
          <w:szCs w:val="24"/>
          <w:vertAlign w:val="superscript"/>
        </w:rPr>
        <w:t>(2</w:t>
      </w:r>
      <w:r w:rsidRPr="002461B0">
        <w:rPr>
          <w:rStyle w:val="Emphasis"/>
          <w:rFonts w:ascii="Helvetica" w:hAnsi="Helvetica" w:cs="Helvetica"/>
          <w:sz w:val="24"/>
          <w:szCs w:val="24"/>
          <w:vertAlign w:val="superscript"/>
        </w:rPr>
        <w:t>)</w:t>
      </w:r>
      <w:r>
        <w:rPr>
          <w:rFonts w:ascii="Arial" w:hAnsi="Arial" w:cs="Arial"/>
          <w:sz w:val="24"/>
          <w:szCs w:val="24"/>
        </w:rPr>
        <w:t>, which last year declined by 4%, appears to have improved following a pick-up in new housing starts and planning consents.</w:t>
      </w:r>
    </w:p>
    <w:p w:rsidR="00071D62" w:rsidRPr="00791B66" w:rsidRDefault="00071D62" w:rsidP="009E0259">
      <w:pPr>
        <w:jc w:val="left"/>
        <w:rPr>
          <w:rFonts w:ascii="Arial" w:hAnsi="Arial" w:cs="Arial"/>
          <w:sz w:val="24"/>
          <w:szCs w:val="24"/>
        </w:rPr>
      </w:pPr>
    </w:p>
    <w:p w:rsidR="00071D62" w:rsidRPr="00791B66" w:rsidRDefault="00071D62" w:rsidP="009E0259">
      <w:pPr>
        <w:jc w:val="left"/>
        <w:rPr>
          <w:rFonts w:ascii="Arial" w:hAnsi="Arial" w:cs="Arial"/>
          <w:sz w:val="24"/>
          <w:szCs w:val="24"/>
        </w:rPr>
      </w:pPr>
      <w:r w:rsidRPr="00791B66">
        <w:rPr>
          <w:rFonts w:ascii="Arial" w:hAnsi="Arial" w:cs="Arial"/>
          <w:sz w:val="24"/>
          <w:szCs w:val="24"/>
        </w:rPr>
        <w:t>Self</w:t>
      </w:r>
      <w:r>
        <w:rPr>
          <w:rFonts w:ascii="Arial" w:hAnsi="Arial" w:cs="Arial"/>
          <w:sz w:val="24"/>
          <w:szCs w:val="24"/>
        </w:rPr>
        <w:t>-</w:t>
      </w:r>
      <w:r w:rsidRPr="00791B66">
        <w:rPr>
          <w:rFonts w:ascii="Arial" w:hAnsi="Arial" w:cs="Arial"/>
          <w:sz w:val="24"/>
          <w:szCs w:val="24"/>
        </w:rPr>
        <w:t>h</w:t>
      </w:r>
      <w:r>
        <w:rPr>
          <w:rFonts w:ascii="Arial" w:hAnsi="Arial" w:cs="Arial"/>
          <w:sz w:val="24"/>
          <w:szCs w:val="24"/>
        </w:rPr>
        <w:t>elp initiatives to drive sales and footfall continued to progress well in H1 including a continued extensive</w:t>
      </w:r>
      <w:r w:rsidRPr="00791B66">
        <w:rPr>
          <w:rFonts w:ascii="Arial" w:hAnsi="Arial" w:cs="Arial"/>
          <w:sz w:val="24"/>
          <w:szCs w:val="24"/>
        </w:rPr>
        <w:t xml:space="preserve"> programme of range refreshment, more ‘arrivages’ promotions (rolling programme of one-off special buys)</w:t>
      </w:r>
      <w:r>
        <w:rPr>
          <w:rFonts w:ascii="Arial" w:hAnsi="Arial" w:cs="Arial"/>
          <w:sz w:val="24"/>
          <w:szCs w:val="24"/>
        </w:rPr>
        <w:t xml:space="preserve"> and the re-launch of the Brico Dépôt ‘Le Book’ pocket-sized catalogue to reinforce Brico Dépôt’s value credentials. New shower, indoor tiling and power tool ranges</w:t>
      </w:r>
      <w:r w:rsidRPr="00791B66">
        <w:rPr>
          <w:rFonts w:ascii="Arial" w:hAnsi="Arial" w:cs="Arial"/>
          <w:sz w:val="24"/>
          <w:szCs w:val="24"/>
        </w:rPr>
        <w:t xml:space="preserve"> introduc</w:t>
      </w:r>
      <w:r>
        <w:rPr>
          <w:rFonts w:ascii="Arial" w:hAnsi="Arial" w:cs="Arial"/>
          <w:sz w:val="24"/>
          <w:szCs w:val="24"/>
        </w:rPr>
        <w:t>ed last year performed particularly well (+15% LFL).</w:t>
      </w:r>
    </w:p>
    <w:p w:rsidR="00071D62" w:rsidRDefault="00071D62" w:rsidP="003465BA">
      <w:pPr>
        <w:jc w:val="left"/>
        <w:rPr>
          <w:rFonts w:ascii="Arial" w:hAnsi="Arial" w:cs="Arial"/>
          <w:i/>
          <w:iCs/>
          <w:sz w:val="24"/>
          <w:szCs w:val="24"/>
        </w:rPr>
      </w:pPr>
    </w:p>
    <w:p w:rsidR="00071D62" w:rsidRPr="002A79FF" w:rsidRDefault="00071D62" w:rsidP="000A3330">
      <w:pPr>
        <w:jc w:val="left"/>
        <w:rPr>
          <w:rFonts w:ascii="Arial" w:hAnsi="Arial" w:cs="Arial"/>
          <w:sz w:val="18"/>
          <w:szCs w:val="18"/>
        </w:rPr>
      </w:pPr>
      <w:r>
        <w:rPr>
          <w:rStyle w:val="Emphasis"/>
          <w:rFonts w:ascii="Helvetica" w:hAnsi="Helvetica" w:cs="Helvetica"/>
          <w:sz w:val="20"/>
          <w:szCs w:val="20"/>
          <w:vertAlign w:val="superscript"/>
        </w:rPr>
        <w:t>(1</w:t>
      </w:r>
      <w:r w:rsidRPr="000A3330">
        <w:rPr>
          <w:rStyle w:val="Emphasis"/>
          <w:rFonts w:ascii="Helvetica" w:hAnsi="Helvetica" w:cs="Helvetica"/>
          <w:sz w:val="20"/>
          <w:szCs w:val="20"/>
          <w:vertAlign w:val="superscript"/>
        </w:rPr>
        <w:t>)</w:t>
      </w:r>
      <w:r w:rsidRPr="002A79FF">
        <w:rPr>
          <w:rFonts w:ascii="Arial" w:hAnsi="Arial" w:cs="Arial"/>
          <w:i/>
          <w:iCs/>
          <w:sz w:val="18"/>
          <w:szCs w:val="18"/>
        </w:rPr>
        <w:t xml:space="preserve">Banque de France data </w:t>
      </w:r>
      <w:r>
        <w:rPr>
          <w:rFonts w:ascii="Arial" w:hAnsi="Arial" w:cs="Arial"/>
          <w:i/>
          <w:iCs/>
          <w:sz w:val="18"/>
          <w:szCs w:val="18"/>
        </w:rPr>
        <w:t>excludes the heavier trade market</w:t>
      </w:r>
    </w:p>
    <w:p w:rsidR="00071D62" w:rsidRPr="002A79FF" w:rsidRDefault="00071D62" w:rsidP="000A3330">
      <w:pPr>
        <w:jc w:val="left"/>
        <w:rPr>
          <w:rFonts w:ascii="Arial" w:hAnsi="Arial" w:cs="Arial"/>
          <w:i/>
          <w:iCs/>
          <w:sz w:val="18"/>
          <w:szCs w:val="18"/>
        </w:rPr>
      </w:pPr>
      <w:r>
        <w:rPr>
          <w:rStyle w:val="Emphasis"/>
          <w:rFonts w:ascii="Helvetica" w:hAnsi="Helvetica" w:cs="Helvetica"/>
          <w:sz w:val="20"/>
          <w:szCs w:val="20"/>
          <w:vertAlign w:val="superscript"/>
        </w:rPr>
        <w:t>(2</w:t>
      </w:r>
      <w:r w:rsidRPr="000A3330">
        <w:rPr>
          <w:rStyle w:val="Emphasis"/>
          <w:rFonts w:ascii="Helvetica" w:hAnsi="Helvetica" w:cs="Helvetica"/>
          <w:sz w:val="20"/>
          <w:szCs w:val="20"/>
          <w:vertAlign w:val="superscript"/>
        </w:rPr>
        <w:t>)</w:t>
      </w:r>
      <w:r w:rsidRPr="002A79FF">
        <w:rPr>
          <w:rFonts w:ascii="Arial" w:hAnsi="Arial" w:cs="Arial"/>
          <w:i/>
          <w:iCs/>
          <w:sz w:val="18"/>
          <w:szCs w:val="18"/>
        </w:rPr>
        <w:t xml:space="preserve">Private building market </w:t>
      </w:r>
      <w:r>
        <w:rPr>
          <w:rFonts w:ascii="Arial" w:hAnsi="Arial" w:cs="Arial"/>
          <w:i/>
          <w:iCs/>
          <w:sz w:val="18"/>
          <w:szCs w:val="18"/>
        </w:rPr>
        <w:t>Jan-Dec 2010 according to UNIBAL</w:t>
      </w:r>
    </w:p>
    <w:p w:rsidR="00071D62" w:rsidRDefault="00071D62" w:rsidP="003465BA">
      <w:pPr>
        <w:jc w:val="left"/>
        <w:rPr>
          <w:rFonts w:ascii="Arial" w:hAnsi="Arial" w:cs="Arial"/>
          <w:i/>
          <w:iCs/>
          <w:sz w:val="24"/>
          <w:szCs w:val="24"/>
        </w:rPr>
      </w:pPr>
    </w:p>
    <w:p w:rsidR="00071D62" w:rsidRPr="00BD36C6" w:rsidRDefault="00071D62" w:rsidP="003465BA">
      <w:pPr>
        <w:jc w:val="left"/>
        <w:rPr>
          <w:rFonts w:ascii="Arial" w:hAnsi="Arial" w:cs="Arial"/>
          <w:i/>
          <w:iCs/>
          <w:sz w:val="24"/>
          <w:szCs w:val="24"/>
        </w:rPr>
      </w:pPr>
      <w:r w:rsidRPr="00791B66">
        <w:rPr>
          <w:rFonts w:ascii="Arial" w:hAnsi="Arial" w:cs="Arial"/>
          <w:i/>
          <w:iCs/>
          <w:sz w:val="24"/>
          <w:szCs w:val="24"/>
        </w:rPr>
        <w:br w:type="page"/>
      </w:r>
      <w:smartTag w:uri="urn:schemas-microsoft-com:office:smarttags" w:element="country-region">
        <w:r w:rsidRPr="00791B66">
          <w:rPr>
            <w:rFonts w:ascii="Arial" w:hAnsi="Arial" w:cs="Arial"/>
            <w:b/>
            <w:bCs/>
            <w:sz w:val="24"/>
            <w:szCs w:val="24"/>
          </w:rPr>
          <w:lastRenderedPageBreak/>
          <w:t>UK</w:t>
        </w:r>
      </w:smartTag>
      <w:r w:rsidRPr="00791B66">
        <w:rPr>
          <w:rFonts w:ascii="Arial" w:hAnsi="Arial" w:cs="Arial"/>
          <w:b/>
          <w:bCs/>
          <w:sz w:val="24"/>
          <w:szCs w:val="24"/>
        </w:rPr>
        <w:t xml:space="preserve"> &amp; </w:t>
      </w:r>
      <w:smartTag w:uri="urn:schemas-microsoft-com:office:smarttags" w:element="place">
        <w:smartTag w:uri="urn:schemas-microsoft-com:office:smarttags" w:element="country-region">
          <w:r w:rsidRPr="00791B66">
            <w:rPr>
              <w:rFonts w:ascii="Arial" w:hAnsi="Arial" w:cs="Arial"/>
              <w:b/>
              <w:bCs/>
              <w:sz w:val="24"/>
              <w:szCs w:val="24"/>
            </w:rPr>
            <w:t>IRELAND</w:t>
          </w:r>
        </w:smartTag>
      </w:smartTag>
    </w:p>
    <w:p w:rsidR="00071D62" w:rsidRPr="00791B66" w:rsidRDefault="00071D62" w:rsidP="00752D54">
      <w:pPr>
        <w:jc w:val="left"/>
        <w:rPr>
          <w:rFonts w:ascii="Arial" w:hAnsi="Arial" w:cs="Arial"/>
          <w:sz w:val="24"/>
          <w:szCs w:val="24"/>
        </w:rPr>
      </w:pPr>
    </w:p>
    <w:tbl>
      <w:tblPr>
        <w:tblW w:w="483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1276"/>
        <w:gridCol w:w="1559"/>
        <w:gridCol w:w="1563"/>
        <w:gridCol w:w="1698"/>
        <w:gridCol w:w="1175"/>
      </w:tblGrid>
      <w:tr w:rsidR="00071D62" w:rsidRPr="00791B66">
        <w:tc>
          <w:tcPr>
            <w:tcW w:w="1189" w:type="pct"/>
          </w:tcPr>
          <w:p w:rsidR="00071D62" w:rsidRPr="00791B66" w:rsidRDefault="00071D62" w:rsidP="000918E1">
            <w:pPr>
              <w:rPr>
                <w:rFonts w:ascii="Arial" w:hAnsi="Arial" w:cs="Arial"/>
                <w:sz w:val="24"/>
                <w:szCs w:val="24"/>
              </w:rPr>
            </w:pPr>
            <w:r w:rsidRPr="00791B66">
              <w:rPr>
                <w:rFonts w:ascii="Arial" w:hAnsi="Arial" w:cs="Arial"/>
                <w:b/>
                <w:bCs/>
                <w:sz w:val="24"/>
                <w:szCs w:val="24"/>
              </w:rPr>
              <w:t>Sales £m</w:t>
            </w:r>
          </w:p>
        </w:tc>
        <w:tc>
          <w:tcPr>
            <w:tcW w:w="669" w:type="pct"/>
          </w:tcPr>
          <w:p w:rsidR="00071D62" w:rsidRPr="00791B66" w:rsidRDefault="00071D62" w:rsidP="00701EEA">
            <w:pPr>
              <w:jc w:val="right"/>
              <w:rPr>
                <w:rFonts w:ascii="Arial" w:hAnsi="Arial" w:cs="Arial"/>
                <w:sz w:val="24"/>
                <w:szCs w:val="24"/>
              </w:rPr>
            </w:pPr>
            <w:r w:rsidRPr="00791B66">
              <w:rPr>
                <w:rFonts w:ascii="Arial" w:hAnsi="Arial" w:cs="Arial"/>
                <w:b/>
                <w:bCs/>
                <w:sz w:val="24"/>
                <w:szCs w:val="24"/>
              </w:rPr>
              <w:t>201</w:t>
            </w:r>
            <w:r>
              <w:rPr>
                <w:rFonts w:ascii="Arial" w:hAnsi="Arial" w:cs="Arial"/>
                <w:b/>
                <w:bCs/>
                <w:sz w:val="24"/>
                <w:szCs w:val="24"/>
              </w:rPr>
              <w:t>1</w:t>
            </w:r>
            <w:r w:rsidRPr="00791B66">
              <w:rPr>
                <w:rFonts w:ascii="Arial" w:hAnsi="Arial" w:cs="Arial"/>
                <w:b/>
                <w:bCs/>
                <w:sz w:val="24"/>
                <w:szCs w:val="24"/>
              </w:rPr>
              <w:t>/1</w:t>
            </w:r>
            <w:r>
              <w:rPr>
                <w:rFonts w:ascii="Arial" w:hAnsi="Arial" w:cs="Arial"/>
                <w:b/>
                <w:bCs/>
                <w:sz w:val="24"/>
                <w:szCs w:val="24"/>
              </w:rPr>
              <w:t>2</w:t>
            </w:r>
          </w:p>
        </w:tc>
        <w:tc>
          <w:tcPr>
            <w:tcW w:w="817" w:type="pct"/>
          </w:tcPr>
          <w:p w:rsidR="00071D62" w:rsidRPr="00791B66" w:rsidRDefault="00071D62" w:rsidP="00701EEA">
            <w:pPr>
              <w:jc w:val="right"/>
              <w:rPr>
                <w:rFonts w:ascii="Arial" w:hAnsi="Arial" w:cs="Arial"/>
                <w:b/>
                <w:bCs/>
                <w:sz w:val="24"/>
                <w:szCs w:val="24"/>
              </w:rPr>
            </w:pPr>
            <w:r w:rsidRPr="00791B66">
              <w:rPr>
                <w:rFonts w:ascii="Arial" w:hAnsi="Arial" w:cs="Arial"/>
                <w:b/>
                <w:bCs/>
                <w:sz w:val="24"/>
                <w:szCs w:val="24"/>
              </w:rPr>
              <w:t>20</w:t>
            </w:r>
            <w:r>
              <w:rPr>
                <w:rFonts w:ascii="Arial" w:hAnsi="Arial" w:cs="Arial"/>
                <w:b/>
                <w:bCs/>
                <w:sz w:val="24"/>
                <w:szCs w:val="24"/>
              </w:rPr>
              <w:t>10</w:t>
            </w:r>
            <w:r w:rsidRPr="00791B66">
              <w:rPr>
                <w:rFonts w:ascii="Arial" w:hAnsi="Arial" w:cs="Arial"/>
                <w:b/>
                <w:bCs/>
                <w:sz w:val="24"/>
                <w:szCs w:val="24"/>
              </w:rPr>
              <w:t>/1</w:t>
            </w:r>
            <w:r>
              <w:rPr>
                <w:rFonts w:ascii="Arial" w:hAnsi="Arial" w:cs="Arial"/>
                <w:b/>
                <w:bCs/>
                <w:sz w:val="24"/>
                <w:szCs w:val="24"/>
              </w:rPr>
              <w:t>1</w:t>
            </w:r>
          </w:p>
        </w:tc>
        <w:tc>
          <w:tcPr>
            <w:tcW w:w="819" w:type="pct"/>
          </w:tcPr>
          <w:p w:rsidR="00071D62" w:rsidRPr="00791B66" w:rsidRDefault="00071D62" w:rsidP="00701EEA">
            <w:pPr>
              <w:jc w:val="right"/>
              <w:rPr>
                <w:rFonts w:ascii="Arial" w:hAnsi="Arial" w:cs="Arial"/>
                <w:b/>
                <w:bCs/>
                <w:sz w:val="24"/>
                <w:szCs w:val="24"/>
              </w:rPr>
            </w:pPr>
            <w:r w:rsidRPr="00791B66">
              <w:rPr>
                <w:rFonts w:ascii="Arial" w:hAnsi="Arial" w:cs="Arial"/>
                <w:b/>
                <w:bCs/>
                <w:sz w:val="24"/>
                <w:szCs w:val="24"/>
              </w:rPr>
              <w:t xml:space="preserve">% </w:t>
            </w:r>
            <w:r>
              <w:rPr>
                <w:rFonts w:ascii="Arial" w:hAnsi="Arial" w:cs="Arial"/>
                <w:b/>
                <w:bCs/>
                <w:sz w:val="24"/>
                <w:szCs w:val="24"/>
              </w:rPr>
              <w:t xml:space="preserve">Reported </w:t>
            </w:r>
            <w:r w:rsidRPr="00791B66">
              <w:rPr>
                <w:rFonts w:ascii="Arial" w:hAnsi="Arial" w:cs="Arial"/>
                <w:b/>
                <w:bCs/>
                <w:sz w:val="24"/>
                <w:szCs w:val="24"/>
              </w:rPr>
              <w:t>Change</w:t>
            </w:r>
          </w:p>
        </w:tc>
        <w:tc>
          <w:tcPr>
            <w:tcW w:w="890" w:type="pct"/>
          </w:tcPr>
          <w:p w:rsidR="00071D62" w:rsidRPr="00791B66" w:rsidRDefault="00071D62" w:rsidP="00701EEA">
            <w:pPr>
              <w:jc w:val="right"/>
              <w:rPr>
                <w:rFonts w:ascii="Arial" w:hAnsi="Arial" w:cs="Arial"/>
                <w:b/>
                <w:bCs/>
                <w:sz w:val="24"/>
                <w:szCs w:val="24"/>
              </w:rPr>
            </w:pPr>
            <w:r w:rsidRPr="00791B66">
              <w:rPr>
                <w:rFonts w:ascii="Arial" w:hAnsi="Arial" w:cs="Arial"/>
                <w:b/>
                <w:bCs/>
                <w:sz w:val="24"/>
                <w:szCs w:val="24"/>
              </w:rPr>
              <w:t xml:space="preserve">% </w:t>
            </w:r>
            <w:r>
              <w:rPr>
                <w:rFonts w:ascii="Arial" w:hAnsi="Arial" w:cs="Arial"/>
                <w:b/>
                <w:bCs/>
                <w:sz w:val="24"/>
                <w:szCs w:val="24"/>
              </w:rPr>
              <w:t xml:space="preserve">Constant </w:t>
            </w:r>
            <w:r w:rsidRPr="00791B66">
              <w:rPr>
                <w:rFonts w:ascii="Arial" w:hAnsi="Arial" w:cs="Arial"/>
                <w:b/>
                <w:bCs/>
                <w:sz w:val="24"/>
                <w:szCs w:val="24"/>
              </w:rPr>
              <w:t>Change</w:t>
            </w:r>
          </w:p>
        </w:tc>
        <w:tc>
          <w:tcPr>
            <w:tcW w:w="616" w:type="pct"/>
          </w:tcPr>
          <w:p w:rsidR="00071D62" w:rsidRDefault="00071D62" w:rsidP="00701EEA">
            <w:pPr>
              <w:ind w:hanging="108"/>
              <w:jc w:val="right"/>
              <w:rPr>
                <w:rFonts w:ascii="Arial" w:hAnsi="Arial" w:cs="Arial"/>
                <w:b/>
                <w:bCs/>
                <w:sz w:val="24"/>
                <w:szCs w:val="24"/>
              </w:rPr>
            </w:pPr>
            <w:r w:rsidRPr="00791B66">
              <w:rPr>
                <w:rFonts w:ascii="Arial" w:hAnsi="Arial" w:cs="Arial"/>
                <w:b/>
                <w:bCs/>
                <w:sz w:val="24"/>
                <w:szCs w:val="24"/>
              </w:rPr>
              <w:t>% LFL</w:t>
            </w:r>
          </w:p>
          <w:p w:rsidR="00071D62" w:rsidRPr="00791B66" w:rsidRDefault="00071D62" w:rsidP="00701EEA">
            <w:pPr>
              <w:ind w:hanging="108"/>
              <w:jc w:val="right"/>
              <w:rPr>
                <w:rFonts w:ascii="Arial" w:hAnsi="Arial" w:cs="Arial"/>
                <w:b/>
                <w:bCs/>
                <w:sz w:val="24"/>
                <w:szCs w:val="24"/>
              </w:rPr>
            </w:pPr>
            <w:r>
              <w:rPr>
                <w:rFonts w:ascii="Arial" w:hAnsi="Arial" w:cs="Arial"/>
                <w:b/>
                <w:bCs/>
                <w:sz w:val="24"/>
                <w:szCs w:val="24"/>
              </w:rPr>
              <w:t>Change</w:t>
            </w:r>
          </w:p>
        </w:tc>
      </w:tr>
      <w:tr w:rsidR="00071D62" w:rsidRPr="00791B66">
        <w:trPr>
          <w:trHeight w:val="147"/>
        </w:trPr>
        <w:tc>
          <w:tcPr>
            <w:tcW w:w="1189" w:type="pct"/>
          </w:tcPr>
          <w:p w:rsidR="00071D62" w:rsidRPr="00791B66" w:rsidRDefault="00071D62" w:rsidP="000918E1">
            <w:pPr>
              <w:rPr>
                <w:rFonts w:ascii="Arial" w:hAnsi="Arial" w:cs="Arial"/>
                <w:sz w:val="24"/>
                <w:szCs w:val="24"/>
              </w:rPr>
            </w:pPr>
            <w:smartTag w:uri="urn:schemas-microsoft-com:office:smarttags" w:element="country-region">
              <w:r w:rsidRPr="00791B66">
                <w:rPr>
                  <w:rFonts w:ascii="Arial" w:hAnsi="Arial" w:cs="Arial"/>
                  <w:sz w:val="24"/>
                  <w:szCs w:val="24"/>
                </w:rPr>
                <w:t>UK</w:t>
              </w:r>
            </w:smartTag>
            <w:r w:rsidRPr="00791B66">
              <w:rPr>
                <w:rFonts w:ascii="Arial" w:hAnsi="Arial" w:cs="Arial"/>
                <w:sz w:val="24"/>
                <w:szCs w:val="24"/>
              </w:rPr>
              <w:t xml:space="preserve"> &amp; </w:t>
            </w:r>
            <w:smartTag w:uri="urn:schemas-microsoft-com:office:smarttags" w:element="place">
              <w:smartTag w:uri="urn:schemas-microsoft-com:office:smarttags" w:element="country-region">
                <w:r w:rsidRPr="00791B66">
                  <w:rPr>
                    <w:rFonts w:ascii="Arial" w:hAnsi="Arial" w:cs="Arial"/>
                    <w:sz w:val="24"/>
                    <w:szCs w:val="24"/>
                  </w:rPr>
                  <w:t>Ireland</w:t>
                </w:r>
              </w:smartTag>
            </w:smartTag>
          </w:p>
        </w:tc>
        <w:tc>
          <w:tcPr>
            <w:tcW w:w="669" w:type="pct"/>
          </w:tcPr>
          <w:p w:rsidR="00071D62" w:rsidRPr="00791B66" w:rsidRDefault="00071D62" w:rsidP="00701EEA">
            <w:pPr>
              <w:jc w:val="right"/>
              <w:rPr>
                <w:rFonts w:ascii="Arial" w:hAnsi="Arial" w:cs="Arial"/>
                <w:sz w:val="24"/>
                <w:szCs w:val="24"/>
              </w:rPr>
            </w:pPr>
            <w:r>
              <w:rPr>
                <w:rFonts w:ascii="Arial" w:hAnsi="Arial" w:cs="Arial"/>
                <w:sz w:val="24"/>
                <w:szCs w:val="24"/>
              </w:rPr>
              <w:t>2,306</w:t>
            </w:r>
          </w:p>
        </w:tc>
        <w:tc>
          <w:tcPr>
            <w:tcW w:w="817" w:type="pct"/>
          </w:tcPr>
          <w:p w:rsidR="00071D62" w:rsidRPr="00791B66" w:rsidRDefault="00071D62" w:rsidP="00701EEA">
            <w:pPr>
              <w:jc w:val="right"/>
              <w:rPr>
                <w:rFonts w:ascii="Arial" w:hAnsi="Arial" w:cs="Arial"/>
                <w:sz w:val="24"/>
                <w:szCs w:val="24"/>
              </w:rPr>
            </w:pPr>
            <w:r>
              <w:rPr>
                <w:rFonts w:ascii="Arial" w:hAnsi="Arial" w:cs="Arial"/>
                <w:sz w:val="24"/>
                <w:szCs w:val="24"/>
              </w:rPr>
              <w:t>2,328</w:t>
            </w:r>
          </w:p>
        </w:tc>
        <w:tc>
          <w:tcPr>
            <w:tcW w:w="819" w:type="pct"/>
          </w:tcPr>
          <w:p w:rsidR="00071D62" w:rsidRPr="00791B66" w:rsidRDefault="00071D62" w:rsidP="00701EEA">
            <w:pPr>
              <w:jc w:val="right"/>
              <w:rPr>
                <w:rFonts w:ascii="Arial" w:hAnsi="Arial" w:cs="Arial"/>
                <w:sz w:val="24"/>
                <w:szCs w:val="24"/>
              </w:rPr>
            </w:pPr>
            <w:r>
              <w:rPr>
                <w:rFonts w:ascii="Arial" w:hAnsi="Arial" w:cs="Arial"/>
                <w:sz w:val="24"/>
                <w:szCs w:val="24"/>
              </w:rPr>
              <w:t>(1.0)%</w:t>
            </w:r>
          </w:p>
        </w:tc>
        <w:tc>
          <w:tcPr>
            <w:tcW w:w="890" w:type="pct"/>
          </w:tcPr>
          <w:p w:rsidR="00071D62" w:rsidRPr="00791B66" w:rsidRDefault="00071D62" w:rsidP="00701EEA">
            <w:pPr>
              <w:jc w:val="right"/>
              <w:rPr>
                <w:rFonts w:ascii="Arial" w:hAnsi="Arial" w:cs="Arial"/>
                <w:sz w:val="24"/>
                <w:szCs w:val="24"/>
              </w:rPr>
            </w:pPr>
            <w:r>
              <w:rPr>
                <w:rFonts w:ascii="Arial" w:hAnsi="Arial" w:cs="Arial"/>
                <w:sz w:val="24"/>
                <w:szCs w:val="24"/>
              </w:rPr>
              <w:t>(1.0)%</w:t>
            </w:r>
          </w:p>
        </w:tc>
        <w:tc>
          <w:tcPr>
            <w:tcW w:w="616" w:type="pct"/>
          </w:tcPr>
          <w:p w:rsidR="00071D62" w:rsidRPr="00791B66" w:rsidRDefault="00071D62" w:rsidP="00701EEA">
            <w:pPr>
              <w:jc w:val="right"/>
              <w:rPr>
                <w:rFonts w:ascii="Arial" w:hAnsi="Arial" w:cs="Arial"/>
                <w:sz w:val="24"/>
                <w:szCs w:val="24"/>
              </w:rPr>
            </w:pPr>
            <w:r>
              <w:rPr>
                <w:rFonts w:ascii="Arial" w:hAnsi="Arial" w:cs="Arial"/>
                <w:sz w:val="24"/>
                <w:szCs w:val="24"/>
              </w:rPr>
              <w:t>(1.5)%</w:t>
            </w:r>
          </w:p>
        </w:tc>
      </w:tr>
    </w:tbl>
    <w:p w:rsidR="00071D62" w:rsidRPr="00791B66" w:rsidRDefault="00071D62" w:rsidP="003465BA">
      <w:pPr>
        <w:rPr>
          <w:rFonts w:ascii="Arial" w:hAnsi="Arial" w:cs="Arial"/>
          <w:b/>
          <w:bCs/>
          <w:sz w:val="24"/>
          <w:szCs w:val="24"/>
        </w:rPr>
      </w:pPr>
    </w:p>
    <w:tbl>
      <w:tblPr>
        <w:tblW w:w="4243" w:type="pct"/>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2268"/>
        <w:gridCol w:w="1279"/>
        <w:gridCol w:w="1558"/>
        <w:gridCol w:w="1554"/>
        <w:gridCol w:w="1706"/>
      </w:tblGrid>
      <w:tr w:rsidR="00071D62" w:rsidRPr="00791B66">
        <w:tc>
          <w:tcPr>
            <w:tcW w:w="1355" w:type="pct"/>
            <w:tcBorders>
              <w:top w:val="single" w:sz="4" w:space="0" w:color="auto"/>
            </w:tcBorders>
          </w:tcPr>
          <w:p w:rsidR="00071D62" w:rsidRPr="00791B66" w:rsidRDefault="00071D62" w:rsidP="000918E1">
            <w:pPr>
              <w:rPr>
                <w:rFonts w:ascii="Arial" w:hAnsi="Arial" w:cs="Arial"/>
                <w:b/>
                <w:bCs/>
                <w:sz w:val="24"/>
                <w:szCs w:val="24"/>
              </w:rPr>
            </w:pPr>
            <w:r w:rsidRPr="00791B66">
              <w:rPr>
                <w:rFonts w:ascii="Arial" w:hAnsi="Arial" w:cs="Arial"/>
                <w:b/>
                <w:bCs/>
                <w:sz w:val="24"/>
                <w:szCs w:val="24"/>
              </w:rPr>
              <w:t>Retail profit £m</w:t>
            </w:r>
          </w:p>
        </w:tc>
        <w:tc>
          <w:tcPr>
            <w:tcW w:w="764" w:type="pct"/>
            <w:tcBorders>
              <w:top w:val="single" w:sz="4" w:space="0" w:color="auto"/>
            </w:tcBorders>
          </w:tcPr>
          <w:p w:rsidR="00071D62" w:rsidRPr="00791B66" w:rsidRDefault="00071D62" w:rsidP="00701EEA">
            <w:pPr>
              <w:jc w:val="right"/>
              <w:rPr>
                <w:rFonts w:ascii="Arial" w:hAnsi="Arial" w:cs="Arial"/>
                <w:b/>
                <w:bCs/>
                <w:sz w:val="24"/>
                <w:szCs w:val="24"/>
              </w:rPr>
            </w:pPr>
            <w:r w:rsidRPr="00791B66">
              <w:rPr>
                <w:rFonts w:ascii="Arial" w:hAnsi="Arial" w:cs="Arial"/>
                <w:b/>
                <w:bCs/>
                <w:sz w:val="24"/>
                <w:szCs w:val="24"/>
              </w:rPr>
              <w:t>201</w:t>
            </w:r>
            <w:r>
              <w:rPr>
                <w:rFonts w:ascii="Arial" w:hAnsi="Arial" w:cs="Arial"/>
                <w:b/>
                <w:bCs/>
                <w:sz w:val="24"/>
                <w:szCs w:val="24"/>
              </w:rPr>
              <w:t>1</w:t>
            </w:r>
            <w:r w:rsidRPr="00791B66">
              <w:rPr>
                <w:rFonts w:ascii="Arial" w:hAnsi="Arial" w:cs="Arial"/>
                <w:b/>
                <w:bCs/>
                <w:sz w:val="24"/>
                <w:szCs w:val="24"/>
              </w:rPr>
              <w:t>/1</w:t>
            </w:r>
            <w:r>
              <w:rPr>
                <w:rFonts w:ascii="Arial" w:hAnsi="Arial" w:cs="Arial"/>
                <w:b/>
                <w:bCs/>
                <w:sz w:val="24"/>
                <w:szCs w:val="24"/>
              </w:rPr>
              <w:t>2</w:t>
            </w:r>
          </w:p>
        </w:tc>
        <w:tc>
          <w:tcPr>
            <w:tcW w:w="931" w:type="pct"/>
            <w:tcBorders>
              <w:top w:val="single" w:sz="4" w:space="0" w:color="auto"/>
            </w:tcBorders>
          </w:tcPr>
          <w:p w:rsidR="00071D62" w:rsidRPr="00791B66" w:rsidRDefault="00071D62" w:rsidP="00701EEA">
            <w:pPr>
              <w:jc w:val="right"/>
              <w:rPr>
                <w:rFonts w:ascii="Arial" w:hAnsi="Arial" w:cs="Arial"/>
                <w:b/>
                <w:bCs/>
                <w:sz w:val="24"/>
                <w:szCs w:val="24"/>
              </w:rPr>
            </w:pPr>
            <w:r w:rsidRPr="00791B66">
              <w:rPr>
                <w:rFonts w:ascii="Arial" w:hAnsi="Arial" w:cs="Arial"/>
                <w:b/>
                <w:bCs/>
                <w:sz w:val="24"/>
                <w:szCs w:val="24"/>
              </w:rPr>
              <w:t>20</w:t>
            </w:r>
            <w:r>
              <w:rPr>
                <w:rFonts w:ascii="Arial" w:hAnsi="Arial" w:cs="Arial"/>
                <w:b/>
                <w:bCs/>
                <w:sz w:val="24"/>
                <w:szCs w:val="24"/>
              </w:rPr>
              <w:t>10</w:t>
            </w:r>
            <w:r w:rsidRPr="00791B66">
              <w:rPr>
                <w:rFonts w:ascii="Arial" w:hAnsi="Arial" w:cs="Arial"/>
                <w:b/>
                <w:bCs/>
                <w:sz w:val="24"/>
                <w:szCs w:val="24"/>
              </w:rPr>
              <w:t>/1</w:t>
            </w:r>
            <w:r>
              <w:rPr>
                <w:rFonts w:ascii="Arial" w:hAnsi="Arial" w:cs="Arial"/>
                <w:b/>
                <w:bCs/>
                <w:sz w:val="24"/>
                <w:szCs w:val="24"/>
              </w:rPr>
              <w:t>1</w:t>
            </w:r>
          </w:p>
        </w:tc>
        <w:tc>
          <w:tcPr>
            <w:tcW w:w="929" w:type="pct"/>
            <w:tcBorders>
              <w:top w:val="single" w:sz="4" w:space="0" w:color="auto"/>
            </w:tcBorders>
          </w:tcPr>
          <w:p w:rsidR="00071D62" w:rsidRPr="00791B66" w:rsidRDefault="00071D62" w:rsidP="00701EEA">
            <w:pPr>
              <w:jc w:val="right"/>
              <w:rPr>
                <w:rFonts w:ascii="Arial" w:hAnsi="Arial" w:cs="Arial"/>
                <w:b/>
                <w:bCs/>
                <w:sz w:val="24"/>
                <w:szCs w:val="24"/>
              </w:rPr>
            </w:pPr>
            <w:r w:rsidRPr="00791B66">
              <w:rPr>
                <w:rFonts w:ascii="Arial" w:hAnsi="Arial" w:cs="Arial"/>
                <w:b/>
                <w:bCs/>
                <w:sz w:val="24"/>
                <w:szCs w:val="24"/>
              </w:rPr>
              <w:t xml:space="preserve">% </w:t>
            </w:r>
            <w:r>
              <w:rPr>
                <w:rFonts w:ascii="Arial" w:hAnsi="Arial" w:cs="Arial"/>
                <w:b/>
                <w:bCs/>
                <w:sz w:val="24"/>
                <w:szCs w:val="24"/>
              </w:rPr>
              <w:t xml:space="preserve">Reported </w:t>
            </w:r>
            <w:r w:rsidRPr="00791B66">
              <w:rPr>
                <w:rFonts w:ascii="Arial" w:hAnsi="Arial" w:cs="Arial"/>
                <w:b/>
                <w:bCs/>
                <w:sz w:val="24"/>
                <w:szCs w:val="24"/>
              </w:rPr>
              <w:t>Change</w:t>
            </w:r>
          </w:p>
        </w:tc>
        <w:tc>
          <w:tcPr>
            <w:tcW w:w="1020" w:type="pct"/>
            <w:tcBorders>
              <w:top w:val="single" w:sz="4" w:space="0" w:color="auto"/>
            </w:tcBorders>
          </w:tcPr>
          <w:p w:rsidR="00071D62" w:rsidRPr="00791B66" w:rsidRDefault="00071D62" w:rsidP="00701EEA">
            <w:pPr>
              <w:jc w:val="right"/>
              <w:rPr>
                <w:rFonts w:ascii="Arial" w:hAnsi="Arial" w:cs="Arial"/>
                <w:b/>
                <w:bCs/>
                <w:sz w:val="24"/>
                <w:szCs w:val="24"/>
              </w:rPr>
            </w:pPr>
            <w:r w:rsidRPr="00791B66">
              <w:rPr>
                <w:rFonts w:ascii="Arial" w:hAnsi="Arial" w:cs="Arial"/>
                <w:b/>
                <w:bCs/>
                <w:sz w:val="24"/>
                <w:szCs w:val="24"/>
              </w:rPr>
              <w:t xml:space="preserve">% </w:t>
            </w:r>
            <w:r>
              <w:rPr>
                <w:rFonts w:ascii="Arial" w:hAnsi="Arial" w:cs="Arial"/>
                <w:b/>
                <w:bCs/>
                <w:sz w:val="24"/>
                <w:szCs w:val="24"/>
              </w:rPr>
              <w:t xml:space="preserve">Constant </w:t>
            </w:r>
            <w:r w:rsidRPr="00791B66">
              <w:rPr>
                <w:rFonts w:ascii="Arial" w:hAnsi="Arial" w:cs="Arial"/>
                <w:b/>
                <w:bCs/>
                <w:sz w:val="24"/>
                <w:szCs w:val="24"/>
              </w:rPr>
              <w:t>Change</w:t>
            </w:r>
          </w:p>
        </w:tc>
      </w:tr>
      <w:tr w:rsidR="00071D62" w:rsidRPr="00791B66">
        <w:tc>
          <w:tcPr>
            <w:tcW w:w="1355" w:type="pct"/>
            <w:tcBorders>
              <w:bottom w:val="single" w:sz="4" w:space="0" w:color="auto"/>
            </w:tcBorders>
          </w:tcPr>
          <w:p w:rsidR="00071D62" w:rsidRPr="00791B66" w:rsidRDefault="00071D62" w:rsidP="000918E1">
            <w:pPr>
              <w:rPr>
                <w:rFonts w:ascii="Arial" w:hAnsi="Arial" w:cs="Arial"/>
                <w:sz w:val="24"/>
                <w:szCs w:val="24"/>
              </w:rPr>
            </w:pPr>
            <w:smartTag w:uri="urn:schemas-microsoft-com:office:smarttags" w:element="country-region">
              <w:r>
                <w:rPr>
                  <w:rFonts w:ascii="Arial" w:hAnsi="Arial" w:cs="Arial"/>
                  <w:sz w:val="24"/>
                  <w:szCs w:val="24"/>
                </w:rPr>
                <w:t>U</w:t>
              </w:r>
              <w:r w:rsidRPr="00791B66">
                <w:rPr>
                  <w:rFonts w:ascii="Arial" w:hAnsi="Arial" w:cs="Arial"/>
                  <w:sz w:val="24"/>
                  <w:szCs w:val="24"/>
                </w:rPr>
                <w:t>K</w:t>
              </w:r>
            </w:smartTag>
            <w:r w:rsidRPr="00791B66">
              <w:rPr>
                <w:rFonts w:ascii="Arial" w:hAnsi="Arial" w:cs="Arial"/>
                <w:sz w:val="24"/>
                <w:szCs w:val="24"/>
              </w:rPr>
              <w:t xml:space="preserve"> &amp; </w:t>
            </w:r>
            <w:smartTag w:uri="urn:schemas-microsoft-com:office:smarttags" w:element="place">
              <w:smartTag w:uri="urn:schemas-microsoft-com:office:smarttags" w:element="country-region">
                <w:r w:rsidRPr="00791B66">
                  <w:rPr>
                    <w:rFonts w:ascii="Arial" w:hAnsi="Arial" w:cs="Arial"/>
                    <w:sz w:val="24"/>
                    <w:szCs w:val="24"/>
                  </w:rPr>
                  <w:t>Ireland</w:t>
                </w:r>
              </w:smartTag>
            </w:smartTag>
          </w:p>
        </w:tc>
        <w:tc>
          <w:tcPr>
            <w:tcW w:w="764" w:type="pct"/>
            <w:tcBorders>
              <w:bottom w:val="single" w:sz="4" w:space="0" w:color="auto"/>
            </w:tcBorders>
          </w:tcPr>
          <w:p w:rsidR="00071D62" w:rsidRPr="00791B66" w:rsidRDefault="00071D62" w:rsidP="00701EEA">
            <w:pPr>
              <w:jc w:val="right"/>
              <w:rPr>
                <w:rFonts w:ascii="Arial" w:hAnsi="Arial" w:cs="Arial"/>
                <w:sz w:val="24"/>
                <w:szCs w:val="24"/>
              </w:rPr>
            </w:pPr>
            <w:r>
              <w:rPr>
                <w:rFonts w:ascii="Arial" w:hAnsi="Arial" w:cs="Arial"/>
                <w:sz w:val="24"/>
                <w:szCs w:val="24"/>
              </w:rPr>
              <w:t>182</w:t>
            </w:r>
          </w:p>
        </w:tc>
        <w:tc>
          <w:tcPr>
            <w:tcW w:w="931" w:type="pct"/>
            <w:tcBorders>
              <w:bottom w:val="single" w:sz="4" w:space="0" w:color="auto"/>
            </w:tcBorders>
          </w:tcPr>
          <w:p w:rsidR="00071D62" w:rsidRPr="00791B66" w:rsidRDefault="00071D62" w:rsidP="00701EEA">
            <w:pPr>
              <w:jc w:val="right"/>
              <w:rPr>
                <w:rFonts w:ascii="Arial" w:hAnsi="Arial" w:cs="Arial"/>
                <w:sz w:val="24"/>
                <w:szCs w:val="24"/>
              </w:rPr>
            </w:pPr>
            <w:r>
              <w:rPr>
                <w:rFonts w:ascii="Arial" w:hAnsi="Arial" w:cs="Arial"/>
                <w:sz w:val="24"/>
                <w:szCs w:val="24"/>
              </w:rPr>
              <w:t>171</w:t>
            </w:r>
          </w:p>
        </w:tc>
        <w:tc>
          <w:tcPr>
            <w:tcW w:w="929" w:type="pct"/>
            <w:tcBorders>
              <w:bottom w:val="single" w:sz="4" w:space="0" w:color="auto"/>
            </w:tcBorders>
          </w:tcPr>
          <w:p w:rsidR="00071D62" w:rsidRPr="00791B66" w:rsidRDefault="00071D62" w:rsidP="00701EEA">
            <w:pPr>
              <w:jc w:val="right"/>
              <w:rPr>
                <w:rFonts w:ascii="Arial" w:hAnsi="Arial" w:cs="Arial"/>
                <w:sz w:val="24"/>
                <w:szCs w:val="24"/>
              </w:rPr>
            </w:pPr>
            <w:r>
              <w:rPr>
                <w:rFonts w:ascii="Arial" w:hAnsi="Arial" w:cs="Arial"/>
                <w:sz w:val="24"/>
                <w:szCs w:val="24"/>
              </w:rPr>
              <w:t>6.1%</w:t>
            </w:r>
          </w:p>
        </w:tc>
        <w:tc>
          <w:tcPr>
            <w:tcW w:w="1020" w:type="pct"/>
            <w:tcBorders>
              <w:bottom w:val="single" w:sz="4" w:space="0" w:color="auto"/>
            </w:tcBorders>
          </w:tcPr>
          <w:p w:rsidR="00071D62" w:rsidRPr="00791B66" w:rsidRDefault="00071D62" w:rsidP="00701EEA">
            <w:pPr>
              <w:jc w:val="right"/>
              <w:rPr>
                <w:rFonts w:ascii="Arial" w:hAnsi="Arial" w:cs="Arial"/>
                <w:sz w:val="24"/>
                <w:szCs w:val="24"/>
              </w:rPr>
            </w:pPr>
            <w:r>
              <w:rPr>
                <w:rFonts w:ascii="Arial" w:hAnsi="Arial" w:cs="Arial"/>
                <w:sz w:val="24"/>
                <w:szCs w:val="24"/>
              </w:rPr>
              <w:t>6.1%</w:t>
            </w:r>
          </w:p>
        </w:tc>
      </w:tr>
    </w:tbl>
    <w:p w:rsidR="00071D62" w:rsidRPr="00791B66" w:rsidRDefault="00071D62" w:rsidP="00752D54">
      <w:pPr>
        <w:jc w:val="left"/>
        <w:rPr>
          <w:rFonts w:ascii="Arial" w:hAnsi="Arial" w:cs="Arial"/>
          <w:i/>
          <w:iCs/>
          <w:sz w:val="24"/>
          <w:szCs w:val="24"/>
        </w:rPr>
      </w:pPr>
    </w:p>
    <w:p w:rsidR="00071D62" w:rsidRDefault="00071D62" w:rsidP="00752D54">
      <w:pPr>
        <w:jc w:val="left"/>
        <w:rPr>
          <w:rFonts w:ascii="Arial" w:hAnsi="Arial" w:cs="Arial"/>
          <w:i/>
          <w:iCs/>
          <w:sz w:val="18"/>
          <w:szCs w:val="18"/>
        </w:rPr>
      </w:pPr>
      <w:r w:rsidRPr="002A79FF">
        <w:rPr>
          <w:rFonts w:ascii="Arial" w:hAnsi="Arial" w:cs="Arial"/>
          <w:i/>
          <w:iCs/>
          <w:sz w:val="18"/>
          <w:szCs w:val="18"/>
        </w:rPr>
        <w:t>UK &amp; Ireland includes B&amp;Q in the UK &amp; Ireland and Screwfix</w:t>
      </w:r>
    </w:p>
    <w:p w:rsidR="00071D62" w:rsidRPr="002A79FF" w:rsidRDefault="00071D62" w:rsidP="00752D54">
      <w:pPr>
        <w:jc w:val="left"/>
        <w:rPr>
          <w:rFonts w:ascii="Arial" w:hAnsi="Arial" w:cs="Arial"/>
          <w:i/>
          <w:iCs/>
          <w:sz w:val="18"/>
          <w:szCs w:val="18"/>
        </w:rPr>
      </w:pPr>
      <w:r w:rsidRPr="00224FE9">
        <w:rPr>
          <w:rFonts w:ascii="Arial" w:hAnsi="Arial" w:cs="Arial"/>
          <w:i/>
          <w:iCs/>
          <w:sz w:val="18"/>
          <w:szCs w:val="18"/>
        </w:rPr>
        <w:t>2011/12: £1 = 1.14 euro (2010/11: 1.16 euro)</w:t>
      </w:r>
    </w:p>
    <w:p w:rsidR="00071D62" w:rsidRPr="002A79FF" w:rsidRDefault="00071D62" w:rsidP="003465BA">
      <w:pPr>
        <w:jc w:val="left"/>
        <w:rPr>
          <w:rFonts w:ascii="Arial" w:hAnsi="Arial" w:cs="Arial"/>
          <w:b/>
          <w:bCs/>
          <w:i/>
          <w:iCs/>
          <w:sz w:val="18"/>
          <w:szCs w:val="18"/>
        </w:rPr>
      </w:pPr>
      <w:r w:rsidRPr="002A79FF">
        <w:rPr>
          <w:rFonts w:ascii="Arial" w:hAnsi="Arial" w:cs="Arial"/>
          <w:b/>
          <w:bCs/>
          <w:i/>
          <w:iCs/>
          <w:sz w:val="18"/>
          <w:szCs w:val="18"/>
        </w:rPr>
        <w:t>All trading commentary below is in constant currencies</w:t>
      </w:r>
    </w:p>
    <w:p w:rsidR="00071D62" w:rsidRPr="00791B66" w:rsidRDefault="00071D62" w:rsidP="00752D54">
      <w:pPr>
        <w:jc w:val="left"/>
        <w:rPr>
          <w:rFonts w:ascii="Arial" w:hAnsi="Arial" w:cs="Arial"/>
          <w:sz w:val="24"/>
          <w:szCs w:val="24"/>
        </w:rPr>
      </w:pPr>
    </w:p>
    <w:p w:rsidR="00071D62" w:rsidRPr="00AC7046" w:rsidRDefault="00071D62" w:rsidP="003024F1">
      <w:pPr>
        <w:jc w:val="left"/>
        <w:rPr>
          <w:rFonts w:ascii="Arial" w:hAnsi="Arial" w:cs="Arial"/>
          <w:b/>
          <w:bCs/>
          <w:sz w:val="24"/>
          <w:szCs w:val="24"/>
        </w:rPr>
      </w:pPr>
      <w:r w:rsidRPr="00AC7046">
        <w:rPr>
          <w:rFonts w:ascii="Arial" w:hAnsi="Arial" w:cs="Arial"/>
          <w:b/>
          <w:bCs/>
          <w:sz w:val="24"/>
          <w:szCs w:val="24"/>
        </w:rPr>
        <w:t>Kingfisher UK &amp; Ireland</w:t>
      </w:r>
    </w:p>
    <w:p w:rsidR="00071D62" w:rsidRPr="00AC7046" w:rsidRDefault="00071D62" w:rsidP="000D0DCD">
      <w:pPr>
        <w:jc w:val="left"/>
        <w:rPr>
          <w:rFonts w:ascii="Arial" w:hAnsi="Arial" w:cs="Arial"/>
          <w:b/>
          <w:bCs/>
          <w:sz w:val="24"/>
          <w:szCs w:val="24"/>
        </w:rPr>
      </w:pPr>
    </w:p>
    <w:p w:rsidR="00071D62" w:rsidRPr="00AC7046" w:rsidRDefault="00071D62" w:rsidP="002B46B6">
      <w:pPr>
        <w:jc w:val="left"/>
        <w:rPr>
          <w:rFonts w:ascii="Arial" w:hAnsi="Arial" w:cs="Arial"/>
          <w:sz w:val="24"/>
          <w:szCs w:val="24"/>
        </w:rPr>
      </w:pPr>
      <w:r w:rsidRPr="00AC7046">
        <w:rPr>
          <w:rFonts w:ascii="Arial" w:hAnsi="Arial" w:cs="Arial"/>
          <w:sz w:val="24"/>
          <w:szCs w:val="24"/>
        </w:rPr>
        <w:t xml:space="preserve">Total sales were down </w:t>
      </w:r>
      <w:r>
        <w:rPr>
          <w:rFonts w:ascii="Arial" w:hAnsi="Arial" w:cs="Arial"/>
          <w:sz w:val="24"/>
          <w:szCs w:val="24"/>
        </w:rPr>
        <w:t>1.0</w:t>
      </w:r>
      <w:r w:rsidRPr="00AC7046">
        <w:rPr>
          <w:rFonts w:ascii="Arial" w:hAnsi="Arial" w:cs="Arial"/>
          <w:sz w:val="24"/>
          <w:szCs w:val="24"/>
        </w:rPr>
        <w:t>% to £</w:t>
      </w:r>
      <w:r>
        <w:rPr>
          <w:rFonts w:ascii="Arial" w:hAnsi="Arial" w:cs="Arial"/>
          <w:sz w:val="24"/>
          <w:szCs w:val="24"/>
        </w:rPr>
        <w:t>2</w:t>
      </w:r>
      <w:r w:rsidRPr="00AC7046">
        <w:rPr>
          <w:rFonts w:ascii="Arial" w:hAnsi="Arial" w:cs="Arial"/>
          <w:sz w:val="24"/>
          <w:szCs w:val="24"/>
        </w:rPr>
        <w:t>.3 billion (-</w:t>
      </w:r>
      <w:r>
        <w:rPr>
          <w:rFonts w:ascii="Arial" w:hAnsi="Arial" w:cs="Arial"/>
          <w:sz w:val="24"/>
          <w:szCs w:val="24"/>
        </w:rPr>
        <w:t>1</w:t>
      </w:r>
      <w:r w:rsidRPr="00AC7046">
        <w:rPr>
          <w:rFonts w:ascii="Arial" w:hAnsi="Arial" w:cs="Arial"/>
          <w:sz w:val="24"/>
          <w:szCs w:val="24"/>
        </w:rPr>
        <w:t>.</w:t>
      </w:r>
      <w:r>
        <w:rPr>
          <w:rFonts w:ascii="Arial" w:hAnsi="Arial" w:cs="Arial"/>
          <w:sz w:val="24"/>
          <w:szCs w:val="24"/>
        </w:rPr>
        <w:t>5</w:t>
      </w:r>
      <w:r w:rsidRPr="00AC7046">
        <w:rPr>
          <w:rFonts w:ascii="Arial" w:hAnsi="Arial" w:cs="Arial"/>
          <w:sz w:val="24"/>
          <w:szCs w:val="24"/>
        </w:rPr>
        <w:t>% LFL)</w:t>
      </w:r>
      <w:r>
        <w:rPr>
          <w:rFonts w:ascii="Arial" w:hAnsi="Arial" w:cs="Arial"/>
          <w:sz w:val="24"/>
          <w:szCs w:val="24"/>
        </w:rPr>
        <w:t xml:space="preserve"> in a declining home improvement market </w:t>
      </w:r>
      <w:r w:rsidRPr="00AC7046">
        <w:rPr>
          <w:rFonts w:ascii="Helvetica" w:hAnsi="Helvetica" w:cs="Helvetica"/>
          <w:i/>
          <w:iCs/>
          <w:sz w:val="24"/>
          <w:szCs w:val="24"/>
          <w:vertAlign w:val="superscript"/>
        </w:rPr>
        <w:t>(</w:t>
      </w:r>
      <w:r>
        <w:rPr>
          <w:rFonts w:ascii="Helvetica" w:hAnsi="Helvetica" w:cs="Helvetica"/>
          <w:i/>
          <w:iCs/>
          <w:sz w:val="24"/>
          <w:szCs w:val="24"/>
          <w:vertAlign w:val="superscript"/>
        </w:rPr>
        <w:t>1</w:t>
      </w:r>
      <w:r w:rsidRPr="00AC7046">
        <w:rPr>
          <w:rFonts w:ascii="Helvetica" w:hAnsi="Helvetica" w:cs="Helvetica"/>
          <w:i/>
          <w:iCs/>
          <w:sz w:val="24"/>
          <w:szCs w:val="24"/>
          <w:vertAlign w:val="superscript"/>
        </w:rPr>
        <w:t>)</w:t>
      </w:r>
      <w:r w:rsidRPr="00AC7046">
        <w:rPr>
          <w:rFonts w:ascii="Arial" w:hAnsi="Arial" w:cs="Arial"/>
          <w:sz w:val="24"/>
          <w:szCs w:val="24"/>
        </w:rPr>
        <w:t xml:space="preserve"> </w:t>
      </w:r>
      <w:r>
        <w:rPr>
          <w:rFonts w:ascii="Arial" w:hAnsi="Arial" w:cs="Arial"/>
          <w:sz w:val="24"/>
          <w:szCs w:val="24"/>
        </w:rPr>
        <w:t xml:space="preserve">which was further </w:t>
      </w:r>
      <w:r w:rsidRPr="00AC7046">
        <w:rPr>
          <w:rFonts w:ascii="Arial" w:hAnsi="Arial" w:cs="Arial"/>
          <w:sz w:val="24"/>
          <w:szCs w:val="24"/>
        </w:rPr>
        <w:t xml:space="preserve">impacted by </w:t>
      </w:r>
      <w:r>
        <w:rPr>
          <w:rFonts w:ascii="Arial" w:hAnsi="Arial" w:cs="Arial"/>
          <w:sz w:val="24"/>
          <w:szCs w:val="24"/>
        </w:rPr>
        <w:t>stock clearance activity at Focus DIY (the UK’s fourth largest DIY operator with 177 stores) ahead of its closure. Retail profit grew by 6.1% benefiting from continued gross margin and cost initiatives.</w:t>
      </w:r>
    </w:p>
    <w:p w:rsidR="00071D62" w:rsidRPr="005C39C0" w:rsidRDefault="00071D62" w:rsidP="003F6B1B">
      <w:pPr>
        <w:jc w:val="left"/>
        <w:rPr>
          <w:rFonts w:ascii="Arial" w:hAnsi="Arial" w:cs="Arial"/>
          <w:sz w:val="24"/>
          <w:szCs w:val="24"/>
          <w:highlight w:val="yellow"/>
        </w:rPr>
      </w:pPr>
    </w:p>
    <w:p w:rsidR="00071D62" w:rsidRDefault="00071D62" w:rsidP="00752D54">
      <w:pPr>
        <w:jc w:val="left"/>
        <w:rPr>
          <w:rFonts w:ascii="Arial" w:hAnsi="Arial" w:cs="Arial"/>
          <w:sz w:val="24"/>
          <w:szCs w:val="24"/>
        </w:rPr>
      </w:pPr>
      <w:r w:rsidRPr="00BD13F0">
        <w:rPr>
          <w:rFonts w:ascii="Arial" w:hAnsi="Arial" w:cs="Arial"/>
          <w:b/>
          <w:bCs/>
          <w:sz w:val="24"/>
          <w:szCs w:val="24"/>
        </w:rPr>
        <w:t>B&amp;Q UK &amp; Ireland’s</w:t>
      </w:r>
      <w:r w:rsidRPr="00BD13F0">
        <w:rPr>
          <w:rFonts w:ascii="Arial" w:hAnsi="Arial" w:cs="Arial"/>
          <w:sz w:val="24"/>
          <w:szCs w:val="24"/>
        </w:rPr>
        <w:t xml:space="preserve"> total sales were down 2.</w:t>
      </w:r>
      <w:r>
        <w:rPr>
          <w:rFonts w:ascii="Arial" w:hAnsi="Arial" w:cs="Arial"/>
          <w:sz w:val="24"/>
          <w:szCs w:val="24"/>
        </w:rPr>
        <w:t>0</w:t>
      </w:r>
      <w:r w:rsidRPr="00BD13F0">
        <w:rPr>
          <w:rFonts w:ascii="Arial" w:hAnsi="Arial" w:cs="Arial"/>
          <w:sz w:val="24"/>
          <w:szCs w:val="24"/>
        </w:rPr>
        <w:t>% (-</w:t>
      </w:r>
      <w:r>
        <w:rPr>
          <w:rFonts w:ascii="Arial" w:hAnsi="Arial" w:cs="Arial"/>
          <w:sz w:val="24"/>
          <w:szCs w:val="24"/>
        </w:rPr>
        <w:t>2</w:t>
      </w:r>
      <w:r w:rsidRPr="00BD13F0">
        <w:rPr>
          <w:rFonts w:ascii="Arial" w:hAnsi="Arial" w:cs="Arial"/>
          <w:sz w:val="24"/>
          <w:szCs w:val="24"/>
        </w:rPr>
        <w:t>.</w:t>
      </w:r>
      <w:r>
        <w:rPr>
          <w:rFonts w:ascii="Arial" w:hAnsi="Arial" w:cs="Arial"/>
          <w:sz w:val="24"/>
          <w:szCs w:val="24"/>
        </w:rPr>
        <w:t>0</w:t>
      </w:r>
      <w:r w:rsidRPr="00BD13F0">
        <w:rPr>
          <w:rFonts w:ascii="Arial" w:hAnsi="Arial" w:cs="Arial"/>
          <w:sz w:val="24"/>
          <w:szCs w:val="24"/>
        </w:rPr>
        <w:t>% LFL) to £</w:t>
      </w:r>
      <w:r>
        <w:rPr>
          <w:rFonts w:ascii="Arial" w:hAnsi="Arial" w:cs="Arial"/>
          <w:sz w:val="24"/>
          <w:szCs w:val="24"/>
        </w:rPr>
        <w:t>2.1</w:t>
      </w:r>
      <w:r w:rsidRPr="00BD13F0">
        <w:rPr>
          <w:rFonts w:ascii="Arial" w:hAnsi="Arial" w:cs="Arial"/>
          <w:sz w:val="24"/>
          <w:szCs w:val="24"/>
        </w:rPr>
        <w:t xml:space="preserve"> billion. Sales of outdoor </w:t>
      </w:r>
      <w:r>
        <w:rPr>
          <w:rFonts w:ascii="Arial" w:hAnsi="Arial" w:cs="Arial"/>
          <w:sz w:val="24"/>
          <w:szCs w:val="24"/>
        </w:rPr>
        <w:t xml:space="preserve">seasonal </w:t>
      </w:r>
      <w:r w:rsidRPr="00BD13F0">
        <w:rPr>
          <w:rFonts w:ascii="Arial" w:hAnsi="Arial" w:cs="Arial"/>
          <w:sz w:val="24"/>
          <w:szCs w:val="24"/>
        </w:rPr>
        <w:t xml:space="preserve">products </w:t>
      </w:r>
      <w:r>
        <w:rPr>
          <w:rFonts w:ascii="Arial" w:hAnsi="Arial" w:cs="Arial"/>
          <w:sz w:val="24"/>
          <w:szCs w:val="24"/>
        </w:rPr>
        <w:t>were down around 4% impacted by less favourable summer season weather and the Focus DIY stock clearance activity. Non-seasonal product sales were down around 1% reflecting the generally weak consumer backdrop.</w:t>
      </w:r>
    </w:p>
    <w:p w:rsidR="00071D62" w:rsidRDefault="00071D62" w:rsidP="00752D54">
      <w:pPr>
        <w:jc w:val="left"/>
        <w:rPr>
          <w:rFonts w:ascii="Arial" w:hAnsi="Arial" w:cs="Arial"/>
          <w:sz w:val="24"/>
          <w:szCs w:val="24"/>
        </w:rPr>
      </w:pPr>
    </w:p>
    <w:p w:rsidR="00071D62" w:rsidRDefault="00071D62" w:rsidP="00752D54">
      <w:pPr>
        <w:jc w:val="left"/>
        <w:rPr>
          <w:rFonts w:ascii="Arial" w:hAnsi="Arial" w:cs="Arial"/>
          <w:sz w:val="24"/>
          <w:szCs w:val="24"/>
        </w:rPr>
      </w:pPr>
      <w:r>
        <w:rPr>
          <w:rFonts w:ascii="Arial" w:hAnsi="Arial" w:cs="Arial"/>
          <w:sz w:val="24"/>
          <w:szCs w:val="24"/>
        </w:rPr>
        <w:t>The new in-store trade-only ‘TradePoint’ offer continues to grow and attract new customers. Around 650,000 professional tradesmen are now registered as ‘TradePoint’ customers, triple the number previously registered with the B&amp;Q Trade Discount Card. This growing database enables B&amp;Q to identify and directly market to this important customer segment for the first time.</w:t>
      </w:r>
    </w:p>
    <w:p w:rsidR="00071D62" w:rsidRPr="00BD13F0" w:rsidRDefault="00071D62" w:rsidP="00752D54">
      <w:pPr>
        <w:jc w:val="left"/>
        <w:rPr>
          <w:rFonts w:ascii="Arial" w:hAnsi="Arial" w:cs="Arial"/>
          <w:sz w:val="24"/>
          <w:szCs w:val="24"/>
        </w:rPr>
      </w:pPr>
    </w:p>
    <w:p w:rsidR="00071D62" w:rsidRDefault="00071D62" w:rsidP="00752D54">
      <w:pPr>
        <w:jc w:val="left"/>
        <w:rPr>
          <w:rFonts w:ascii="Arial" w:hAnsi="Arial" w:cs="Arial"/>
          <w:sz w:val="24"/>
          <w:szCs w:val="24"/>
        </w:rPr>
      </w:pPr>
      <w:r w:rsidRPr="00C73A89">
        <w:rPr>
          <w:rFonts w:ascii="Arial" w:hAnsi="Arial" w:cs="Arial"/>
          <w:sz w:val="24"/>
          <w:szCs w:val="24"/>
        </w:rPr>
        <w:t>Retail profit grew by 4.5% to £165 million</w:t>
      </w:r>
      <w:r>
        <w:rPr>
          <w:rFonts w:ascii="Arial" w:hAnsi="Arial" w:cs="Arial"/>
          <w:sz w:val="24"/>
          <w:szCs w:val="24"/>
        </w:rPr>
        <w:t xml:space="preserve">. Gross margin was up 20 basis points against tough comparatives (2010/11: +140 basis points) driven by sales of higher margin products and more direct sourcing. </w:t>
      </w:r>
      <w:r w:rsidRPr="00C73A89">
        <w:rPr>
          <w:rFonts w:ascii="Arial" w:hAnsi="Arial" w:cs="Arial"/>
          <w:sz w:val="24"/>
          <w:szCs w:val="24"/>
        </w:rPr>
        <w:t>A strong focus on operating cost efficiencies also continued with costs (SG&amp;A</w:t>
      </w:r>
      <w:r w:rsidRPr="00AC7046">
        <w:rPr>
          <w:rFonts w:ascii="Helvetica" w:hAnsi="Helvetica" w:cs="Helvetica"/>
          <w:i/>
          <w:iCs/>
          <w:sz w:val="24"/>
          <w:szCs w:val="24"/>
          <w:vertAlign w:val="superscript"/>
        </w:rPr>
        <w:t>(</w:t>
      </w:r>
      <w:r>
        <w:rPr>
          <w:rFonts w:ascii="Helvetica" w:hAnsi="Helvetica" w:cs="Helvetica"/>
          <w:i/>
          <w:iCs/>
          <w:sz w:val="24"/>
          <w:szCs w:val="24"/>
          <w:vertAlign w:val="superscript"/>
        </w:rPr>
        <w:t>2</w:t>
      </w:r>
      <w:r w:rsidRPr="00AC7046">
        <w:rPr>
          <w:rFonts w:ascii="Helvetica" w:hAnsi="Helvetica" w:cs="Helvetica"/>
          <w:i/>
          <w:iCs/>
          <w:sz w:val="24"/>
          <w:szCs w:val="24"/>
          <w:vertAlign w:val="superscript"/>
        </w:rPr>
        <w:t>)</w:t>
      </w:r>
      <w:r w:rsidRPr="00C73A89">
        <w:rPr>
          <w:rFonts w:ascii="Arial" w:hAnsi="Arial" w:cs="Arial"/>
          <w:sz w:val="24"/>
          <w:szCs w:val="24"/>
        </w:rPr>
        <w:t xml:space="preserve">) percentage to sales held broadly flat across </w:t>
      </w:r>
      <w:r>
        <w:rPr>
          <w:rFonts w:ascii="Arial" w:hAnsi="Arial" w:cs="Arial"/>
          <w:sz w:val="24"/>
          <w:szCs w:val="24"/>
        </w:rPr>
        <w:t>the first half</w:t>
      </w:r>
      <w:r w:rsidRPr="00C73A89">
        <w:rPr>
          <w:rFonts w:ascii="Arial" w:hAnsi="Arial" w:cs="Arial"/>
          <w:sz w:val="24"/>
          <w:szCs w:val="24"/>
        </w:rPr>
        <w:t>.</w:t>
      </w:r>
    </w:p>
    <w:p w:rsidR="00071D62" w:rsidRPr="00BD13F0" w:rsidRDefault="00071D62" w:rsidP="00752D54">
      <w:pPr>
        <w:jc w:val="left"/>
        <w:rPr>
          <w:rFonts w:ascii="Arial" w:hAnsi="Arial" w:cs="Arial"/>
          <w:sz w:val="24"/>
          <w:szCs w:val="24"/>
        </w:rPr>
      </w:pPr>
    </w:p>
    <w:p w:rsidR="00071D62" w:rsidRDefault="00071D62" w:rsidP="005A296C">
      <w:pPr>
        <w:jc w:val="left"/>
        <w:rPr>
          <w:rFonts w:ascii="Arial" w:hAnsi="Arial" w:cs="Arial"/>
          <w:sz w:val="24"/>
          <w:szCs w:val="24"/>
        </w:rPr>
      </w:pPr>
      <w:r>
        <w:rPr>
          <w:rFonts w:ascii="Arial" w:hAnsi="Arial" w:cs="Arial"/>
          <w:sz w:val="24"/>
          <w:szCs w:val="24"/>
        </w:rPr>
        <w:t>During H1 Kingfisher paid £24 million to buy up to 31 leasehold properties from the administrator of Focus DIY and, following regulatory approval and discussions with landlords, 29 will reopen in the B&amp;Q format, creating 230 extra jobs at these stores, in addition to the nearly 600 jobs saved in these communities. During H2, 28 of these stores will be converted into the B&amp;Q format for a capital cost of around £</w:t>
      </w:r>
      <w:r w:rsidRPr="00497920">
        <w:rPr>
          <w:rFonts w:ascii="Arial" w:hAnsi="Arial" w:cs="Arial"/>
          <w:sz w:val="24"/>
          <w:szCs w:val="24"/>
        </w:rPr>
        <w:t>20 million</w:t>
      </w:r>
      <w:r>
        <w:rPr>
          <w:rFonts w:ascii="Arial" w:hAnsi="Arial" w:cs="Arial"/>
          <w:sz w:val="24"/>
          <w:szCs w:val="24"/>
        </w:rPr>
        <w:t xml:space="preserve"> </w:t>
      </w:r>
      <w:r w:rsidRPr="008F2A01">
        <w:rPr>
          <w:rFonts w:ascii="Arial" w:hAnsi="Arial" w:cs="Arial"/>
          <w:sz w:val="24"/>
          <w:szCs w:val="24"/>
        </w:rPr>
        <w:t>and an additional £11 million exceptional charge will be incurred integrating the stores before they open.</w:t>
      </w:r>
      <w:r w:rsidRPr="005F0D3B">
        <w:rPr>
          <w:rFonts w:ascii="Arial" w:hAnsi="Arial" w:cs="Arial"/>
          <w:sz w:val="24"/>
          <w:szCs w:val="24"/>
        </w:rPr>
        <w:t xml:space="preserve"> </w:t>
      </w:r>
      <w:r>
        <w:rPr>
          <w:rFonts w:ascii="Arial" w:hAnsi="Arial" w:cs="Arial"/>
          <w:sz w:val="24"/>
          <w:szCs w:val="24"/>
        </w:rPr>
        <w:t xml:space="preserve">The overall full year impact from the closure of Focus DIY is expected to be retail profit neutral before exceptional charges (H1 clearance disruption offset by H2 trading benefit). </w:t>
      </w:r>
    </w:p>
    <w:p w:rsidR="00071D62" w:rsidRDefault="00071D62" w:rsidP="005A296C">
      <w:pPr>
        <w:jc w:val="left"/>
        <w:rPr>
          <w:rFonts w:ascii="Arial" w:hAnsi="Arial" w:cs="Arial"/>
          <w:sz w:val="24"/>
          <w:szCs w:val="24"/>
        </w:rPr>
      </w:pPr>
    </w:p>
    <w:p w:rsidR="00071D62" w:rsidRDefault="00071D62" w:rsidP="005A296C">
      <w:pPr>
        <w:jc w:val="left"/>
        <w:rPr>
          <w:rFonts w:ascii="Arial" w:hAnsi="Arial" w:cs="Arial"/>
          <w:sz w:val="24"/>
          <w:szCs w:val="24"/>
        </w:rPr>
      </w:pPr>
      <w:r w:rsidRPr="001E35B4">
        <w:rPr>
          <w:rFonts w:ascii="Arial" w:hAnsi="Arial" w:cs="Arial"/>
          <w:i/>
          <w:iCs/>
          <w:sz w:val="24"/>
          <w:szCs w:val="24"/>
        </w:rPr>
        <w:t>(Note: of the 177 Focus DIY stores trading before its administration</w:t>
      </w:r>
      <w:r>
        <w:rPr>
          <w:rFonts w:ascii="Arial" w:hAnsi="Arial" w:cs="Arial"/>
          <w:i/>
          <w:iCs/>
          <w:sz w:val="24"/>
          <w:szCs w:val="24"/>
        </w:rPr>
        <w:t>,</w:t>
      </w:r>
      <w:r w:rsidRPr="001E35B4">
        <w:rPr>
          <w:rFonts w:ascii="Arial" w:hAnsi="Arial" w:cs="Arial"/>
          <w:i/>
          <w:iCs/>
          <w:sz w:val="24"/>
          <w:szCs w:val="24"/>
        </w:rPr>
        <w:t xml:space="preserve"> 29 were subsequently acquired by Kingfisher, 13 by other home improvement businesses</w:t>
      </w:r>
      <w:r>
        <w:rPr>
          <w:rFonts w:ascii="Arial" w:hAnsi="Arial" w:cs="Arial"/>
          <w:i/>
          <w:iCs/>
          <w:sz w:val="24"/>
          <w:szCs w:val="24"/>
        </w:rPr>
        <w:t>, resulting in</w:t>
      </w:r>
      <w:r w:rsidRPr="001E35B4">
        <w:rPr>
          <w:rFonts w:ascii="Arial" w:hAnsi="Arial" w:cs="Arial"/>
          <w:i/>
          <w:iCs/>
          <w:sz w:val="24"/>
          <w:szCs w:val="24"/>
        </w:rPr>
        <w:t xml:space="preserve"> 135 </w:t>
      </w:r>
      <w:r>
        <w:rPr>
          <w:rFonts w:ascii="Arial" w:hAnsi="Arial" w:cs="Arial"/>
          <w:i/>
          <w:iCs/>
          <w:sz w:val="24"/>
          <w:szCs w:val="24"/>
        </w:rPr>
        <w:t xml:space="preserve">having </w:t>
      </w:r>
      <w:r w:rsidRPr="001E35B4">
        <w:rPr>
          <w:rFonts w:ascii="Arial" w:hAnsi="Arial" w:cs="Arial"/>
          <w:i/>
          <w:iCs/>
          <w:sz w:val="24"/>
          <w:szCs w:val="24"/>
        </w:rPr>
        <w:t>c</w:t>
      </w:r>
      <w:r>
        <w:rPr>
          <w:rFonts w:ascii="Arial" w:hAnsi="Arial" w:cs="Arial"/>
          <w:i/>
          <w:iCs/>
          <w:sz w:val="24"/>
          <w:szCs w:val="24"/>
        </w:rPr>
        <w:t>eased trading</w:t>
      </w:r>
      <w:r w:rsidRPr="001E35B4">
        <w:rPr>
          <w:rFonts w:ascii="Arial" w:hAnsi="Arial" w:cs="Arial"/>
          <w:i/>
          <w:iCs/>
          <w:sz w:val="24"/>
          <w:szCs w:val="24"/>
        </w:rPr>
        <w:t>)</w:t>
      </w:r>
      <w:r>
        <w:rPr>
          <w:rFonts w:ascii="Arial" w:hAnsi="Arial" w:cs="Arial"/>
          <w:i/>
          <w:iCs/>
          <w:sz w:val="24"/>
          <w:szCs w:val="24"/>
        </w:rPr>
        <w:t>.</w:t>
      </w:r>
      <w:r>
        <w:rPr>
          <w:rFonts w:ascii="Arial" w:hAnsi="Arial" w:cs="Arial"/>
          <w:sz w:val="24"/>
          <w:szCs w:val="24"/>
        </w:rPr>
        <w:t xml:space="preserve"> </w:t>
      </w:r>
    </w:p>
    <w:p w:rsidR="00071D62" w:rsidRPr="005F0D3B" w:rsidRDefault="00071D62" w:rsidP="005A296C">
      <w:pPr>
        <w:jc w:val="left"/>
        <w:rPr>
          <w:rFonts w:ascii="Arial" w:hAnsi="Arial" w:cs="Arial"/>
          <w:sz w:val="24"/>
          <w:szCs w:val="24"/>
        </w:rPr>
      </w:pPr>
      <w:r>
        <w:rPr>
          <w:rFonts w:ascii="Arial" w:hAnsi="Arial" w:cs="Arial"/>
          <w:sz w:val="24"/>
          <w:szCs w:val="24"/>
        </w:rPr>
        <w:br w:type="page"/>
      </w:r>
    </w:p>
    <w:p w:rsidR="00071D62" w:rsidRDefault="00071D62" w:rsidP="00F20FC5">
      <w:pPr>
        <w:jc w:val="left"/>
        <w:rPr>
          <w:rFonts w:ascii="Arial" w:hAnsi="Arial" w:cs="Arial"/>
          <w:sz w:val="24"/>
          <w:szCs w:val="24"/>
        </w:rPr>
      </w:pPr>
      <w:r w:rsidRPr="00710FFF">
        <w:rPr>
          <w:rFonts w:ascii="Arial" w:hAnsi="Arial" w:cs="Arial"/>
          <w:b/>
          <w:bCs/>
          <w:sz w:val="24"/>
          <w:szCs w:val="24"/>
        </w:rPr>
        <w:t>Screwfix</w:t>
      </w:r>
      <w:r w:rsidRPr="00710FFF">
        <w:rPr>
          <w:rFonts w:ascii="Arial" w:hAnsi="Arial" w:cs="Arial"/>
          <w:sz w:val="24"/>
          <w:szCs w:val="24"/>
        </w:rPr>
        <w:t xml:space="preserve"> </w:t>
      </w:r>
      <w:r>
        <w:rPr>
          <w:rFonts w:ascii="Arial" w:hAnsi="Arial" w:cs="Arial"/>
          <w:sz w:val="24"/>
          <w:szCs w:val="24"/>
        </w:rPr>
        <w:t>grew total sales by 7.7% to £251 million</w:t>
      </w:r>
      <w:r w:rsidDel="00BD46D1">
        <w:rPr>
          <w:rFonts w:ascii="Arial" w:hAnsi="Arial" w:cs="Arial"/>
          <w:sz w:val="24"/>
          <w:szCs w:val="24"/>
        </w:rPr>
        <w:t xml:space="preserve"> </w:t>
      </w:r>
      <w:r>
        <w:rPr>
          <w:rFonts w:ascii="Arial" w:hAnsi="Arial" w:cs="Arial"/>
          <w:sz w:val="24"/>
          <w:szCs w:val="24"/>
        </w:rPr>
        <w:t xml:space="preserve">in a challenging smaller tradesman market </w:t>
      </w:r>
      <w:r w:rsidRPr="00AC7046">
        <w:rPr>
          <w:rFonts w:ascii="Helvetica" w:hAnsi="Helvetica" w:cs="Helvetica"/>
          <w:i/>
          <w:iCs/>
          <w:sz w:val="24"/>
          <w:szCs w:val="24"/>
          <w:vertAlign w:val="superscript"/>
        </w:rPr>
        <w:t>(</w:t>
      </w:r>
      <w:r>
        <w:rPr>
          <w:rFonts w:ascii="Helvetica" w:hAnsi="Helvetica" w:cs="Helvetica"/>
          <w:i/>
          <w:iCs/>
          <w:sz w:val="24"/>
          <w:szCs w:val="24"/>
          <w:vertAlign w:val="superscript"/>
        </w:rPr>
        <w:t>3</w:t>
      </w:r>
      <w:r w:rsidRPr="00AC7046">
        <w:rPr>
          <w:rFonts w:ascii="Helvetica" w:hAnsi="Helvetica" w:cs="Helvetica"/>
          <w:i/>
          <w:iCs/>
          <w:sz w:val="24"/>
          <w:szCs w:val="24"/>
          <w:vertAlign w:val="superscript"/>
        </w:rPr>
        <w:t>)</w:t>
      </w:r>
      <w:r>
        <w:rPr>
          <w:rFonts w:ascii="Arial" w:hAnsi="Arial" w:cs="Arial"/>
          <w:sz w:val="24"/>
          <w:szCs w:val="24"/>
        </w:rPr>
        <w:t xml:space="preserve">. Initiatives that drove market share gains included new ranges </w:t>
      </w:r>
      <w:r w:rsidRPr="00710FFF">
        <w:rPr>
          <w:rFonts w:ascii="Arial" w:hAnsi="Arial" w:cs="Arial"/>
          <w:sz w:val="24"/>
          <w:szCs w:val="24"/>
        </w:rPr>
        <w:t xml:space="preserve">(e.g. </w:t>
      </w:r>
      <w:r>
        <w:rPr>
          <w:rFonts w:ascii="Arial" w:hAnsi="Arial" w:cs="Arial"/>
          <w:sz w:val="24"/>
          <w:szCs w:val="24"/>
        </w:rPr>
        <w:t xml:space="preserve">safety and </w:t>
      </w:r>
      <w:r w:rsidRPr="00710FFF">
        <w:rPr>
          <w:rFonts w:ascii="Arial" w:hAnsi="Arial" w:cs="Arial"/>
          <w:sz w:val="24"/>
          <w:szCs w:val="24"/>
        </w:rPr>
        <w:t>work wear)</w:t>
      </w:r>
      <w:r>
        <w:rPr>
          <w:rFonts w:ascii="Arial" w:hAnsi="Arial" w:cs="Arial"/>
          <w:sz w:val="24"/>
          <w:szCs w:val="24"/>
        </w:rPr>
        <w:t>, the addition of specialist trade desks exclusive to plumbers and electricians within Screwfix outlets and the continued roll out of new outlets. Thirteen net new outlets were opened during H1, taking the total to 175, now accounting for around two thirds of total sales.</w:t>
      </w:r>
    </w:p>
    <w:p w:rsidR="00071D62" w:rsidRDefault="00071D62" w:rsidP="00F20FC5">
      <w:pPr>
        <w:jc w:val="left"/>
        <w:rPr>
          <w:rFonts w:ascii="Arial" w:hAnsi="Arial" w:cs="Arial"/>
          <w:sz w:val="24"/>
          <w:szCs w:val="24"/>
        </w:rPr>
      </w:pPr>
    </w:p>
    <w:p w:rsidR="00071D62" w:rsidRDefault="00071D62" w:rsidP="00B03FA5">
      <w:pPr>
        <w:jc w:val="left"/>
        <w:rPr>
          <w:rFonts w:ascii="Arial" w:hAnsi="Arial" w:cs="Arial"/>
          <w:sz w:val="24"/>
          <w:szCs w:val="24"/>
        </w:rPr>
      </w:pPr>
      <w:r>
        <w:rPr>
          <w:rFonts w:ascii="Arial" w:hAnsi="Arial" w:cs="Arial"/>
          <w:sz w:val="24"/>
          <w:szCs w:val="24"/>
        </w:rPr>
        <w:t xml:space="preserve">Retail profit was up 25.3% to £17 million, reflecting the strong sales growth, </w:t>
      </w:r>
      <w:r w:rsidRPr="00F9554F">
        <w:rPr>
          <w:rFonts w:ascii="Arial" w:hAnsi="Arial" w:cs="Arial"/>
          <w:sz w:val="24"/>
          <w:szCs w:val="24"/>
        </w:rPr>
        <w:t>gross margins benefiting</w:t>
      </w:r>
      <w:r>
        <w:rPr>
          <w:rFonts w:ascii="Arial" w:hAnsi="Arial" w:cs="Arial"/>
          <w:sz w:val="24"/>
          <w:szCs w:val="24"/>
        </w:rPr>
        <w:t xml:space="preserve"> </w:t>
      </w:r>
      <w:r w:rsidRPr="00F9554F">
        <w:rPr>
          <w:rFonts w:ascii="Arial" w:hAnsi="Arial" w:cs="Arial"/>
          <w:sz w:val="24"/>
          <w:szCs w:val="24"/>
        </w:rPr>
        <w:t xml:space="preserve">from </w:t>
      </w:r>
      <w:r>
        <w:rPr>
          <w:rFonts w:ascii="Arial" w:hAnsi="Arial" w:cs="Arial"/>
          <w:sz w:val="24"/>
          <w:szCs w:val="24"/>
        </w:rPr>
        <w:t>more direct sourcing and distribution efficiencies and continued tight cost control</w:t>
      </w:r>
      <w:r w:rsidRPr="00F9554F">
        <w:rPr>
          <w:rFonts w:ascii="Arial" w:hAnsi="Arial" w:cs="Arial"/>
          <w:sz w:val="24"/>
          <w:szCs w:val="24"/>
        </w:rPr>
        <w:t>.</w:t>
      </w:r>
    </w:p>
    <w:p w:rsidR="00071D62" w:rsidRDefault="00071D62" w:rsidP="00B03FA5">
      <w:pPr>
        <w:jc w:val="left"/>
        <w:rPr>
          <w:rFonts w:ascii="Arial" w:hAnsi="Arial" w:cs="Arial"/>
          <w:sz w:val="24"/>
          <w:szCs w:val="24"/>
        </w:rPr>
      </w:pPr>
    </w:p>
    <w:p w:rsidR="00071D62" w:rsidRDefault="00071D62" w:rsidP="00F20FC5">
      <w:pPr>
        <w:jc w:val="left"/>
        <w:rPr>
          <w:rFonts w:ascii="Arial" w:hAnsi="Arial" w:cs="Arial"/>
          <w:sz w:val="24"/>
          <w:szCs w:val="24"/>
        </w:rPr>
      </w:pPr>
      <w:r>
        <w:rPr>
          <w:rFonts w:ascii="Arial" w:hAnsi="Arial" w:cs="Arial"/>
          <w:sz w:val="24"/>
          <w:szCs w:val="24"/>
        </w:rPr>
        <w:t>During H1 Screwfix developed a smaller format outlet (400</w:t>
      </w:r>
      <w:r w:rsidRPr="00CD38BB">
        <w:rPr>
          <w:rFonts w:ascii="Arial" w:hAnsi="Arial" w:cs="Arial"/>
          <w:sz w:val="24"/>
          <w:szCs w:val="24"/>
        </w:rPr>
        <w:t xml:space="preserve"> sq</w:t>
      </w:r>
      <w:r>
        <w:rPr>
          <w:rFonts w:ascii="Arial" w:hAnsi="Arial" w:cs="Arial"/>
          <w:sz w:val="24"/>
          <w:szCs w:val="24"/>
        </w:rPr>
        <w:t xml:space="preserve"> m compared with the typical 700 sq m) in order to access smaller or more densely populated urban catchments. Having now successfully trialled several of these smaller outlets in H1 Screwfix will now accelerate its UK expansion plans. In H2, it is intended that up to a further 40 Screwfix outlets will now open, 30</w:t>
      </w:r>
      <w:r w:rsidRPr="009F1CB7">
        <w:rPr>
          <w:rFonts w:ascii="Arial" w:hAnsi="Arial" w:cs="Arial"/>
          <w:sz w:val="24"/>
          <w:szCs w:val="24"/>
        </w:rPr>
        <w:t xml:space="preserve"> in</w:t>
      </w:r>
      <w:r>
        <w:rPr>
          <w:rFonts w:ascii="Arial" w:hAnsi="Arial" w:cs="Arial"/>
          <w:sz w:val="24"/>
          <w:szCs w:val="24"/>
        </w:rPr>
        <w:t xml:space="preserve"> the newer, smaller format. This accelerated expansion will cost an additional £5 million capital and add £3 million of further pre-opening costs in H2. A total of 1,000 new jobs will be created in the UK for the full year. </w:t>
      </w:r>
    </w:p>
    <w:p w:rsidR="00071D62" w:rsidRDefault="00071D62" w:rsidP="00F20FC5">
      <w:pPr>
        <w:jc w:val="left"/>
        <w:rPr>
          <w:rFonts w:ascii="Arial" w:hAnsi="Arial" w:cs="Arial"/>
          <w:sz w:val="24"/>
          <w:szCs w:val="24"/>
        </w:rPr>
      </w:pPr>
    </w:p>
    <w:p w:rsidR="00071D62" w:rsidRPr="005C39C0" w:rsidRDefault="00071D62" w:rsidP="00F20FC5">
      <w:pPr>
        <w:jc w:val="left"/>
        <w:rPr>
          <w:rFonts w:ascii="Arial" w:hAnsi="Arial" w:cs="Arial"/>
          <w:sz w:val="24"/>
          <w:szCs w:val="24"/>
          <w:highlight w:val="yellow"/>
        </w:rPr>
      </w:pPr>
    </w:p>
    <w:p w:rsidR="00071D62" w:rsidRPr="00AC7046" w:rsidRDefault="00071D62" w:rsidP="000A3330">
      <w:pPr>
        <w:jc w:val="left"/>
        <w:rPr>
          <w:rFonts w:ascii="Arial" w:hAnsi="Arial" w:cs="Arial"/>
          <w:i/>
          <w:iCs/>
          <w:sz w:val="18"/>
          <w:szCs w:val="18"/>
        </w:rPr>
      </w:pPr>
      <w:r w:rsidRPr="00AC7046">
        <w:rPr>
          <w:rFonts w:ascii="Helvetica" w:hAnsi="Helvetica" w:cs="Helvetica"/>
          <w:i/>
          <w:iCs/>
          <w:sz w:val="20"/>
          <w:szCs w:val="20"/>
          <w:vertAlign w:val="superscript"/>
        </w:rPr>
        <w:t>(1)</w:t>
      </w:r>
      <w:r w:rsidRPr="00AC7046">
        <w:rPr>
          <w:rFonts w:ascii="Arial" w:hAnsi="Arial" w:cs="Arial"/>
          <w:i/>
          <w:iCs/>
          <w:sz w:val="18"/>
          <w:szCs w:val="18"/>
        </w:rPr>
        <w:t xml:space="preserve">This </w:t>
      </w:r>
      <w:r>
        <w:rPr>
          <w:rFonts w:ascii="Arial" w:hAnsi="Arial" w:cs="Arial"/>
          <w:i/>
          <w:iCs/>
          <w:sz w:val="18"/>
          <w:szCs w:val="18"/>
        </w:rPr>
        <w:t xml:space="preserve">GfK </w:t>
      </w:r>
      <w:r w:rsidRPr="00AC7046">
        <w:rPr>
          <w:rFonts w:ascii="Arial" w:hAnsi="Arial" w:cs="Arial"/>
          <w:i/>
          <w:iCs/>
          <w:sz w:val="18"/>
          <w:szCs w:val="18"/>
        </w:rPr>
        <w:t>data</w:t>
      </w:r>
      <w:r>
        <w:rPr>
          <w:rFonts w:ascii="Arial" w:hAnsi="Arial" w:cs="Arial"/>
          <w:i/>
          <w:iCs/>
          <w:sz w:val="18"/>
          <w:szCs w:val="18"/>
        </w:rPr>
        <w:t xml:space="preserve"> is only for five months to June and</w:t>
      </w:r>
      <w:r w:rsidRPr="00AC7046">
        <w:rPr>
          <w:rFonts w:ascii="Arial" w:hAnsi="Arial" w:cs="Arial"/>
          <w:i/>
          <w:iCs/>
          <w:sz w:val="18"/>
          <w:szCs w:val="18"/>
        </w:rPr>
        <w:t xml:space="preserve"> includes new space added but excludes private retailers e.g. IKEA and smaller independents</w:t>
      </w:r>
    </w:p>
    <w:p w:rsidR="00071D62" w:rsidRDefault="00071D62" w:rsidP="00F20FC5">
      <w:pPr>
        <w:jc w:val="left"/>
        <w:rPr>
          <w:rFonts w:ascii="Arial" w:hAnsi="Arial" w:cs="Arial"/>
          <w:i/>
          <w:iCs/>
          <w:sz w:val="18"/>
          <w:szCs w:val="18"/>
        </w:rPr>
      </w:pPr>
      <w:r w:rsidRPr="00C73A89">
        <w:rPr>
          <w:rFonts w:ascii="Helvetica" w:hAnsi="Helvetica" w:cs="Helvetica"/>
          <w:i/>
          <w:iCs/>
          <w:sz w:val="20"/>
          <w:szCs w:val="20"/>
          <w:vertAlign w:val="superscript"/>
        </w:rPr>
        <w:t>(</w:t>
      </w:r>
      <w:r>
        <w:rPr>
          <w:rFonts w:ascii="Helvetica" w:hAnsi="Helvetica" w:cs="Helvetica"/>
          <w:i/>
          <w:iCs/>
          <w:sz w:val="20"/>
          <w:szCs w:val="20"/>
          <w:vertAlign w:val="superscript"/>
        </w:rPr>
        <w:t>2</w:t>
      </w:r>
      <w:r w:rsidRPr="00C73A89">
        <w:rPr>
          <w:rFonts w:ascii="Helvetica" w:hAnsi="Helvetica" w:cs="Helvetica"/>
          <w:i/>
          <w:iCs/>
          <w:sz w:val="20"/>
          <w:szCs w:val="20"/>
          <w:vertAlign w:val="superscript"/>
        </w:rPr>
        <w:t>)</w:t>
      </w:r>
      <w:r w:rsidRPr="00C73A89">
        <w:rPr>
          <w:rFonts w:ascii="Arial" w:hAnsi="Arial" w:cs="Arial"/>
          <w:i/>
          <w:iCs/>
          <w:sz w:val="18"/>
          <w:szCs w:val="18"/>
        </w:rPr>
        <w:t xml:space="preserve"> Selling, General and Administrative Expenses</w:t>
      </w:r>
    </w:p>
    <w:p w:rsidR="00071D62" w:rsidRPr="00791B66" w:rsidRDefault="00071D62" w:rsidP="00F20FC5">
      <w:pPr>
        <w:jc w:val="left"/>
        <w:rPr>
          <w:rFonts w:ascii="Arial" w:hAnsi="Arial" w:cs="Arial"/>
          <w:b/>
          <w:bCs/>
          <w:sz w:val="24"/>
          <w:szCs w:val="24"/>
        </w:rPr>
      </w:pPr>
      <w:r w:rsidRPr="00C73A89">
        <w:rPr>
          <w:rFonts w:ascii="Helvetica" w:hAnsi="Helvetica" w:cs="Helvetica"/>
          <w:i/>
          <w:iCs/>
          <w:sz w:val="20"/>
          <w:szCs w:val="20"/>
          <w:vertAlign w:val="superscript"/>
        </w:rPr>
        <w:t>(</w:t>
      </w:r>
      <w:r>
        <w:rPr>
          <w:rFonts w:ascii="Helvetica" w:hAnsi="Helvetica" w:cs="Helvetica"/>
          <w:i/>
          <w:iCs/>
          <w:sz w:val="20"/>
          <w:szCs w:val="20"/>
          <w:vertAlign w:val="superscript"/>
        </w:rPr>
        <w:t>3</w:t>
      </w:r>
      <w:r w:rsidRPr="00C73A89">
        <w:rPr>
          <w:rFonts w:ascii="Helvetica" w:hAnsi="Helvetica" w:cs="Helvetica"/>
          <w:i/>
          <w:iCs/>
          <w:sz w:val="20"/>
          <w:szCs w:val="20"/>
          <w:vertAlign w:val="superscript"/>
        </w:rPr>
        <w:t>)</w:t>
      </w:r>
      <w:r w:rsidRPr="00C73A89">
        <w:rPr>
          <w:rFonts w:ascii="Arial" w:hAnsi="Arial" w:cs="Arial"/>
          <w:i/>
          <w:iCs/>
          <w:sz w:val="18"/>
          <w:szCs w:val="18"/>
        </w:rPr>
        <w:t xml:space="preserve"> </w:t>
      </w:r>
      <w:r>
        <w:rPr>
          <w:rFonts w:ascii="Arial" w:hAnsi="Arial" w:cs="Arial"/>
          <w:i/>
          <w:iCs/>
          <w:sz w:val="18"/>
          <w:szCs w:val="18"/>
        </w:rPr>
        <w:t>Based on the Builders’ Merchants Federation data April-June 2011</w:t>
      </w:r>
      <w:r w:rsidRPr="00791B66">
        <w:rPr>
          <w:rFonts w:ascii="Arial" w:hAnsi="Arial" w:cs="Arial"/>
          <w:sz w:val="24"/>
          <w:szCs w:val="24"/>
        </w:rPr>
        <w:t xml:space="preserve"> </w:t>
      </w:r>
      <w:r w:rsidRPr="00791B66">
        <w:rPr>
          <w:rFonts w:ascii="Arial" w:hAnsi="Arial" w:cs="Arial"/>
          <w:sz w:val="24"/>
          <w:szCs w:val="24"/>
        </w:rPr>
        <w:br w:type="page"/>
      </w:r>
      <w:r w:rsidRPr="00791B66">
        <w:rPr>
          <w:rFonts w:ascii="Arial" w:hAnsi="Arial" w:cs="Arial"/>
          <w:b/>
          <w:bCs/>
          <w:sz w:val="24"/>
          <w:szCs w:val="24"/>
        </w:rPr>
        <w:lastRenderedPageBreak/>
        <w:t>OTHER INTERNATIONAL</w:t>
      </w:r>
    </w:p>
    <w:p w:rsidR="00071D62" w:rsidRPr="00791B66" w:rsidRDefault="00071D62" w:rsidP="00752D54">
      <w:pPr>
        <w:rPr>
          <w:rFonts w:ascii="Arial" w:hAnsi="Arial" w:cs="Arial"/>
          <w:b/>
          <w:bCs/>
          <w:sz w:val="24"/>
          <w:szCs w:val="24"/>
        </w:rPr>
      </w:pPr>
    </w:p>
    <w:tbl>
      <w:tblPr>
        <w:tblW w:w="4839" w:type="pct"/>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2339"/>
        <w:gridCol w:w="1259"/>
        <w:gridCol w:w="1441"/>
        <w:gridCol w:w="1622"/>
        <w:gridCol w:w="1620"/>
        <w:gridCol w:w="1259"/>
      </w:tblGrid>
      <w:tr w:rsidR="00071D62" w:rsidRPr="00791B66">
        <w:trPr>
          <w:trHeight w:val="134"/>
        </w:trPr>
        <w:tc>
          <w:tcPr>
            <w:tcW w:w="1226" w:type="pct"/>
            <w:tcBorders>
              <w:top w:val="single" w:sz="4" w:space="0" w:color="auto"/>
            </w:tcBorders>
          </w:tcPr>
          <w:p w:rsidR="00071D62" w:rsidRPr="00791B66" w:rsidRDefault="00071D62" w:rsidP="00166D70">
            <w:pPr>
              <w:rPr>
                <w:rFonts w:ascii="Arial" w:hAnsi="Arial" w:cs="Arial"/>
                <w:b/>
                <w:bCs/>
                <w:sz w:val="24"/>
                <w:szCs w:val="24"/>
              </w:rPr>
            </w:pPr>
            <w:r w:rsidRPr="00791B66">
              <w:rPr>
                <w:rFonts w:ascii="Arial" w:hAnsi="Arial" w:cs="Arial"/>
                <w:b/>
                <w:bCs/>
                <w:sz w:val="24"/>
                <w:szCs w:val="24"/>
              </w:rPr>
              <w:t>Sales £m</w:t>
            </w:r>
          </w:p>
        </w:tc>
        <w:tc>
          <w:tcPr>
            <w:tcW w:w="660" w:type="pct"/>
            <w:tcBorders>
              <w:top w:val="single" w:sz="4" w:space="0" w:color="auto"/>
            </w:tcBorders>
          </w:tcPr>
          <w:p w:rsidR="00071D62" w:rsidRPr="00791B66" w:rsidRDefault="00071D62" w:rsidP="00701EEA">
            <w:pPr>
              <w:jc w:val="right"/>
              <w:rPr>
                <w:rFonts w:ascii="Arial" w:hAnsi="Arial" w:cs="Arial"/>
                <w:b/>
                <w:bCs/>
                <w:sz w:val="24"/>
                <w:szCs w:val="24"/>
              </w:rPr>
            </w:pPr>
            <w:r w:rsidRPr="00791B66">
              <w:rPr>
                <w:rFonts w:ascii="Arial" w:hAnsi="Arial" w:cs="Arial"/>
                <w:b/>
                <w:bCs/>
                <w:sz w:val="24"/>
                <w:szCs w:val="24"/>
              </w:rPr>
              <w:t>201</w:t>
            </w:r>
            <w:r>
              <w:rPr>
                <w:rFonts w:ascii="Arial" w:hAnsi="Arial" w:cs="Arial"/>
                <w:b/>
                <w:bCs/>
                <w:sz w:val="24"/>
                <w:szCs w:val="24"/>
              </w:rPr>
              <w:t>1</w:t>
            </w:r>
            <w:r w:rsidRPr="00791B66">
              <w:rPr>
                <w:rFonts w:ascii="Arial" w:hAnsi="Arial" w:cs="Arial"/>
                <w:b/>
                <w:bCs/>
                <w:sz w:val="24"/>
                <w:szCs w:val="24"/>
              </w:rPr>
              <w:t>/1</w:t>
            </w:r>
            <w:r>
              <w:rPr>
                <w:rFonts w:ascii="Arial" w:hAnsi="Arial" w:cs="Arial"/>
                <w:b/>
                <w:bCs/>
                <w:sz w:val="24"/>
                <w:szCs w:val="24"/>
              </w:rPr>
              <w:t>2</w:t>
            </w:r>
          </w:p>
        </w:tc>
        <w:tc>
          <w:tcPr>
            <w:tcW w:w="755" w:type="pct"/>
            <w:tcBorders>
              <w:top w:val="single" w:sz="4" w:space="0" w:color="auto"/>
            </w:tcBorders>
          </w:tcPr>
          <w:p w:rsidR="00071D62" w:rsidRPr="00791B66" w:rsidRDefault="00071D62" w:rsidP="00701EEA">
            <w:pPr>
              <w:jc w:val="right"/>
              <w:rPr>
                <w:rFonts w:ascii="Arial" w:hAnsi="Arial" w:cs="Arial"/>
                <w:b/>
                <w:bCs/>
                <w:sz w:val="24"/>
                <w:szCs w:val="24"/>
              </w:rPr>
            </w:pPr>
            <w:r w:rsidRPr="00791B66">
              <w:rPr>
                <w:rFonts w:ascii="Arial" w:hAnsi="Arial" w:cs="Arial"/>
                <w:b/>
                <w:bCs/>
                <w:sz w:val="24"/>
                <w:szCs w:val="24"/>
              </w:rPr>
              <w:t>20</w:t>
            </w:r>
            <w:r>
              <w:rPr>
                <w:rFonts w:ascii="Arial" w:hAnsi="Arial" w:cs="Arial"/>
                <w:b/>
                <w:bCs/>
                <w:sz w:val="24"/>
                <w:szCs w:val="24"/>
              </w:rPr>
              <w:t>10</w:t>
            </w:r>
            <w:r w:rsidRPr="00791B66">
              <w:rPr>
                <w:rFonts w:ascii="Arial" w:hAnsi="Arial" w:cs="Arial"/>
                <w:b/>
                <w:bCs/>
                <w:sz w:val="24"/>
                <w:szCs w:val="24"/>
              </w:rPr>
              <w:t>/1</w:t>
            </w:r>
            <w:r>
              <w:rPr>
                <w:rFonts w:ascii="Arial" w:hAnsi="Arial" w:cs="Arial"/>
                <w:b/>
                <w:bCs/>
                <w:sz w:val="24"/>
                <w:szCs w:val="24"/>
              </w:rPr>
              <w:t>1</w:t>
            </w:r>
          </w:p>
        </w:tc>
        <w:tc>
          <w:tcPr>
            <w:tcW w:w="850" w:type="pct"/>
            <w:tcBorders>
              <w:top w:val="single" w:sz="4" w:space="0" w:color="auto"/>
            </w:tcBorders>
          </w:tcPr>
          <w:p w:rsidR="00071D62" w:rsidRPr="00791B66" w:rsidRDefault="00071D62" w:rsidP="00701EEA">
            <w:pPr>
              <w:jc w:val="right"/>
              <w:rPr>
                <w:rFonts w:ascii="Arial" w:hAnsi="Arial" w:cs="Arial"/>
                <w:b/>
                <w:bCs/>
                <w:sz w:val="24"/>
                <w:szCs w:val="24"/>
              </w:rPr>
            </w:pPr>
            <w:r w:rsidRPr="00791B66">
              <w:rPr>
                <w:rFonts w:ascii="Arial" w:hAnsi="Arial" w:cs="Arial"/>
                <w:b/>
                <w:bCs/>
                <w:sz w:val="24"/>
                <w:szCs w:val="24"/>
              </w:rPr>
              <w:t xml:space="preserve">% </w:t>
            </w:r>
            <w:r>
              <w:rPr>
                <w:rFonts w:ascii="Arial" w:hAnsi="Arial" w:cs="Arial"/>
                <w:b/>
                <w:bCs/>
                <w:sz w:val="24"/>
                <w:szCs w:val="24"/>
              </w:rPr>
              <w:t xml:space="preserve">Reported </w:t>
            </w:r>
            <w:r w:rsidRPr="00791B66">
              <w:rPr>
                <w:rFonts w:ascii="Arial" w:hAnsi="Arial" w:cs="Arial"/>
                <w:b/>
                <w:bCs/>
                <w:sz w:val="24"/>
                <w:szCs w:val="24"/>
              </w:rPr>
              <w:t>Change</w:t>
            </w:r>
          </w:p>
        </w:tc>
        <w:tc>
          <w:tcPr>
            <w:tcW w:w="849" w:type="pct"/>
            <w:tcBorders>
              <w:top w:val="single" w:sz="4" w:space="0" w:color="auto"/>
            </w:tcBorders>
          </w:tcPr>
          <w:p w:rsidR="00071D62" w:rsidRPr="00791B66" w:rsidRDefault="00071D62" w:rsidP="00701EEA">
            <w:pPr>
              <w:jc w:val="right"/>
              <w:rPr>
                <w:rFonts w:ascii="Arial" w:hAnsi="Arial" w:cs="Arial"/>
                <w:b/>
                <w:bCs/>
                <w:sz w:val="24"/>
                <w:szCs w:val="24"/>
              </w:rPr>
            </w:pPr>
            <w:r w:rsidRPr="00791B66">
              <w:rPr>
                <w:rFonts w:ascii="Arial" w:hAnsi="Arial" w:cs="Arial"/>
                <w:b/>
                <w:bCs/>
                <w:sz w:val="24"/>
                <w:szCs w:val="24"/>
              </w:rPr>
              <w:t xml:space="preserve">% </w:t>
            </w:r>
            <w:r>
              <w:rPr>
                <w:rFonts w:ascii="Arial" w:hAnsi="Arial" w:cs="Arial"/>
                <w:b/>
                <w:bCs/>
                <w:sz w:val="24"/>
                <w:szCs w:val="24"/>
              </w:rPr>
              <w:t xml:space="preserve">Constant </w:t>
            </w:r>
            <w:r w:rsidRPr="00791B66">
              <w:rPr>
                <w:rFonts w:ascii="Arial" w:hAnsi="Arial" w:cs="Arial"/>
                <w:b/>
                <w:bCs/>
                <w:sz w:val="24"/>
                <w:szCs w:val="24"/>
              </w:rPr>
              <w:t>Change</w:t>
            </w:r>
          </w:p>
        </w:tc>
        <w:tc>
          <w:tcPr>
            <w:tcW w:w="660" w:type="pct"/>
            <w:tcBorders>
              <w:top w:val="single" w:sz="4" w:space="0" w:color="auto"/>
            </w:tcBorders>
          </w:tcPr>
          <w:p w:rsidR="00071D62" w:rsidRDefault="00071D62" w:rsidP="00701EEA">
            <w:pPr>
              <w:jc w:val="right"/>
              <w:rPr>
                <w:rFonts w:ascii="Arial" w:hAnsi="Arial" w:cs="Arial"/>
                <w:b/>
                <w:bCs/>
                <w:sz w:val="24"/>
                <w:szCs w:val="24"/>
              </w:rPr>
            </w:pPr>
            <w:r w:rsidRPr="00791B66">
              <w:rPr>
                <w:rFonts w:ascii="Arial" w:hAnsi="Arial" w:cs="Arial"/>
                <w:b/>
                <w:bCs/>
                <w:sz w:val="24"/>
                <w:szCs w:val="24"/>
              </w:rPr>
              <w:t>% LFL</w:t>
            </w:r>
          </w:p>
          <w:p w:rsidR="00071D62" w:rsidRPr="00791B66" w:rsidRDefault="00071D62" w:rsidP="00701EEA">
            <w:pPr>
              <w:jc w:val="right"/>
              <w:rPr>
                <w:rFonts w:ascii="Arial" w:hAnsi="Arial" w:cs="Arial"/>
                <w:b/>
                <w:bCs/>
                <w:sz w:val="24"/>
                <w:szCs w:val="24"/>
              </w:rPr>
            </w:pPr>
            <w:r>
              <w:rPr>
                <w:rFonts w:ascii="Arial" w:hAnsi="Arial" w:cs="Arial"/>
                <w:b/>
                <w:bCs/>
                <w:sz w:val="24"/>
                <w:szCs w:val="24"/>
              </w:rPr>
              <w:t>Change</w:t>
            </w:r>
          </w:p>
        </w:tc>
      </w:tr>
      <w:tr w:rsidR="00071D62" w:rsidRPr="00791B66">
        <w:trPr>
          <w:trHeight w:val="134"/>
        </w:trPr>
        <w:tc>
          <w:tcPr>
            <w:tcW w:w="1226" w:type="pct"/>
            <w:tcBorders>
              <w:bottom w:val="single" w:sz="4" w:space="0" w:color="auto"/>
            </w:tcBorders>
          </w:tcPr>
          <w:p w:rsidR="00071D62" w:rsidRPr="00791B66" w:rsidRDefault="00071D62" w:rsidP="00166D70">
            <w:pPr>
              <w:rPr>
                <w:rFonts w:ascii="Arial" w:hAnsi="Arial" w:cs="Arial"/>
                <w:sz w:val="24"/>
                <w:szCs w:val="24"/>
              </w:rPr>
            </w:pPr>
            <w:r w:rsidRPr="00791B66">
              <w:rPr>
                <w:rFonts w:ascii="Arial" w:hAnsi="Arial" w:cs="Arial"/>
                <w:sz w:val="24"/>
                <w:szCs w:val="24"/>
              </w:rPr>
              <w:t>Other International</w:t>
            </w:r>
          </w:p>
        </w:tc>
        <w:tc>
          <w:tcPr>
            <w:tcW w:w="660" w:type="pct"/>
            <w:tcBorders>
              <w:bottom w:val="single" w:sz="4" w:space="0" w:color="auto"/>
            </w:tcBorders>
          </w:tcPr>
          <w:p w:rsidR="00071D62" w:rsidRPr="00791B66" w:rsidRDefault="00071D62" w:rsidP="00701EEA">
            <w:pPr>
              <w:jc w:val="right"/>
              <w:rPr>
                <w:rFonts w:ascii="Arial" w:hAnsi="Arial" w:cs="Arial"/>
                <w:sz w:val="24"/>
                <w:szCs w:val="24"/>
              </w:rPr>
            </w:pPr>
            <w:r>
              <w:rPr>
                <w:rFonts w:ascii="Arial" w:hAnsi="Arial" w:cs="Arial"/>
                <w:sz w:val="24"/>
                <w:szCs w:val="24"/>
              </w:rPr>
              <w:t>1,015</w:t>
            </w:r>
          </w:p>
        </w:tc>
        <w:tc>
          <w:tcPr>
            <w:tcW w:w="755" w:type="pct"/>
            <w:tcBorders>
              <w:bottom w:val="single" w:sz="4" w:space="0" w:color="auto"/>
            </w:tcBorders>
          </w:tcPr>
          <w:p w:rsidR="00071D62" w:rsidRPr="00791B66" w:rsidRDefault="00071D62" w:rsidP="00701EEA">
            <w:pPr>
              <w:jc w:val="right"/>
              <w:rPr>
                <w:rFonts w:ascii="Arial" w:hAnsi="Arial" w:cs="Arial"/>
                <w:sz w:val="24"/>
                <w:szCs w:val="24"/>
              </w:rPr>
            </w:pPr>
            <w:r>
              <w:rPr>
                <w:rFonts w:ascii="Arial" w:hAnsi="Arial" w:cs="Arial"/>
                <w:sz w:val="24"/>
                <w:szCs w:val="24"/>
              </w:rPr>
              <w:t>941</w:t>
            </w:r>
          </w:p>
        </w:tc>
        <w:tc>
          <w:tcPr>
            <w:tcW w:w="850" w:type="pct"/>
            <w:tcBorders>
              <w:bottom w:val="single" w:sz="4" w:space="0" w:color="auto"/>
            </w:tcBorders>
          </w:tcPr>
          <w:p w:rsidR="00071D62" w:rsidRPr="00791B66" w:rsidRDefault="00071D62" w:rsidP="00701EEA">
            <w:pPr>
              <w:jc w:val="right"/>
              <w:rPr>
                <w:rFonts w:ascii="Arial" w:hAnsi="Arial" w:cs="Arial"/>
                <w:sz w:val="24"/>
                <w:szCs w:val="24"/>
              </w:rPr>
            </w:pPr>
            <w:r>
              <w:rPr>
                <w:rFonts w:ascii="Arial" w:hAnsi="Arial" w:cs="Arial"/>
                <w:sz w:val="24"/>
                <w:szCs w:val="24"/>
              </w:rPr>
              <w:t>7.9%</w:t>
            </w:r>
          </w:p>
        </w:tc>
        <w:tc>
          <w:tcPr>
            <w:tcW w:w="849" w:type="pct"/>
            <w:tcBorders>
              <w:bottom w:val="single" w:sz="4" w:space="0" w:color="auto"/>
            </w:tcBorders>
          </w:tcPr>
          <w:p w:rsidR="00071D62" w:rsidRPr="00791B66" w:rsidRDefault="00071D62" w:rsidP="00701EEA">
            <w:pPr>
              <w:jc w:val="right"/>
              <w:rPr>
                <w:rFonts w:ascii="Arial" w:hAnsi="Arial" w:cs="Arial"/>
                <w:sz w:val="24"/>
                <w:szCs w:val="24"/>
              </w:rPr>
            </w:pPr>
            <w:r>
              <w:rPr>
                <w:rFonts w:ascii="Arial" w:hAnsi="Arial" w:cs="Arial"/>
                <w:sz w:val="24"/>
                <w:szCs w:val="24"/>
              </w:rPr>
              <w:t>6.9%</w:t>
            </w:r>
          </w:p>
        </w:tc>
        <w:tc>
          <w:tcPr>
            <w:tcW w:w="660" w:type="pct"/>
            <w:tcBorders>
              <w:bottom w:val="single" w:sz="4" w:space="0" w:color="auto"/>
            </w:tcBorders>
          </w:tcPr>
          <w:p w:rsidR="00071D62" w:rsidRPr="00791B66" w:rsidRDefault="00071D62" w:rsidP="00701EEA">
            <w:pPr>
              <w:jc w:val="right"/>
              <w:rPr>
                <w:rFonts w:ascii="Arial" w:hAnsi="Arial" w:cs="Arial"/>
                <w:sz w:val="24"/>
                <w:szCs w:val="24"/>
              </w:rPr>
            </w:pPr>
            <w:r>
              <w:rPr>
                <w:rFonts w:ascii="Arial" w:hAnsi="Arial" w:cs="Arial"/>
                <w:sz w:val="24"/>
                <w:szCs w:val="24"/>
              </w:rPr>
              <w:t>2.5%</w:t>
            </w:r>
          </w:p>
        </w:tc>
      </w:tr>
    </w:tbl>
    <w:p w:rsidR="00071D62" w:rsidRPr="00791B66" w:rsidRDefault="00071D62" w:rsidP="00752D54">
      <w:pPr>
        <w:rPr>
          <w:rFonts w:ascii="Arial" w:hAnsi="Arial" w:cs="Arial"/>
          <w:sz w:val="24"/>
          <w:szCs w:val="24"/>
        </w:rPr>
      </w:pPr>
    </w:p>
    <w:tbl>
      <w:tblPr>
        <w:tblW w:w="42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4"/>
        <w:gridCol w:w="1221"/>
        <w:gridCol w:w="1480"/>
        <w:gridCol w:w="1591"/>
        <w:gridCol w:w="1644"/>
      </w:tblGrid>
      <w:tr w:rsidR="00071D62" w:rsidRPr="00791B66">
        <w:trPr>
          <w:trHeight w:val="134"/>
        </w:trPr>
        <w:tc>
          <w:tcPr>
            <w:tcW w:w="1415" w:type="pct"/>
          </w:tcPr>
          <w:p w:rsidR="00071D62" w:rsidRPr="00791B66" w:rsidRDefault="00071D62" w:rsidP="00166D70">
            <w:pPr>
              <w:rPr>
                <w:rFonts w:ascii="Arial" w:hAnsi="Arial" w:cs="Arial"/>
                <w:b/>
                <w:bCs/>
                <w:sz w:val="24"/>
                <w:szCs w:val="24"/>
              </w:rPr>
            </w:pPr>
            <w:r w:rsidRPr="00791B66">
              <w:rPr>
                <w:rFonts w:ascii="Arial" w:hAnsi="Arial" w:cs="Arial"/>
                <w:b/>
                <w:bCs/>
                <w:sz w:val="24"/>
                <w:szCs w:val="24"/>
              </w:rPr>
              <w:t>Retail profit £m</w:t>
            </w:r>
          </w:p>
        </w:tc>
        <w:tc>
          <w:tcPr>
            <w:tcW w:w="737" w:type="pct"/>
          </w:tcPr>
          <w:p w:rsidR="00071D62" w:rsidRPr="00791B66" w:rsidRDefault="00071D62" w:rsidP="00701EEA">
            <w:pPr>
              <w:jc w:val="right"/>
              <w:rPr>
                <w:rFonts w:ascii="Arial" w:hAnsi="Arial" w:cs="Arial"/>
                <w:b/>
                <w:bCs/>
                <w:sz w:val="24"/>
                <w:szCs w:val="24"/>
              </w:rPr>
            </w:pPr>
            <w:r w:rsidRPr="00791B66">
              <w:rPr>
                <w:rFonts w:ascii="Arial" w:hAnsi="Arial" w:cs="Arial"/>
                <w:b/>
                <w:bCs/>
                <w:sz w:val="24"/>
                <w:szCs w:val="24"/>
              </w:rPr>
              <w:t>201</w:t>
            </w:r>
            <w:r>
              <w:rPr>
                <w:rFonts w:ascii="Arial" w:hAnsi="Arial" w:cs="Arial"/>
                <w:b/>
                <w:bCs/>
                <w:sz w:val="24"/>
                <w:szCs w:val="24"/>
              </w:rPr>
              <w:t>1</w:t>
            </w:r>
            <w:r w:rsidRPr="00791B66">
              <w:rPr>
                <w:rFonts w:ascii="Arial" w:hAnsi="Arial" w:cs="Arial"/>
                <w:b/>
                <w:bCs/>
                <w:sz w:val="24"/>
                <w:szCs w:val="24"/>
              </w:rPr>
              <w:t>/1</w:t>
            </w:r>
            <w:r>
              <w:rPr>
                <w:rFonts w:ascii="Arial" w:hAnsi="Arial" w:cs="Arial"/>
                <w:b/>
                <w:bCs/>
                <w:sz w:val="24"/>
                <w:szCs w:val="24"/>
              </w:rPr>
              <w:t>2</w:t>
            </w:r>
          </w:p>
        </w:tc>
        <w:tc>
          <w:tcPr>
            <w:tcW w:w="894" w:type="pct"/>
          </w:tcPr>
          <w:p w:rsidR="00071D62" w:rsidRPr="00791B66" w:rsidRDefault="00071D62" w:rsidP="00701EEA">
            <w:pPr>
              <w:jc w:val="right"/>
              <w:rPr>
                <w:rFonts w:ascii="Arial" w:hAnsi="Arial" w:cs="Arial"/>
                <w:b/>
                <w:bCs/>
                <w:sz w:val="24"/>
                <w:szCs w:val="24"/>
              </w:rPr>
            </w:pPr>
            <w:r w:rsidRPr="00791B66">
              <w:rPr>
                <w:rFonts w:ascii="Arial" w:hAnsi="Arial" w:cs="Arial"/>
                <w:b/>
                <w:bCs/>
                <w:sz w:val="24"/>
                <w:szCs w:val="24"/>
              </w:rPr>
              <w:t>20</w:t>
            </w:r>
            <w:r>
              <w:rPr>
                <w:rFonts w:ascii="Arial" w:hAnsi="Arial" w:cs="Arial"/>
                <w:b/>
                <w:bCs/>
                <w:sz w:val="24"/>
                <w:szCs w:val="24"/>
              </w:rPr>
              <w:t>10</w:t>
            </w:r>
            <w:r w:rsidRPr="00791B66">
              <w:rPr>
                <w:rFonts w:ascii="Arial" w:hAnsi="Arial" w:cs="Arial"/>
                <w:b/>
                <w:bCs/>
                <w:sz w:val="24"/>
                <w:szCs w:val="24"/>
              </w:rPr>
              <w:t>/1</w:t>
            </w:r>
            <w:r>
              <w:rPr>
                <w:rFonts w:ascii="Arial" w:hAnsi="Arial" w:cs="Arial"/>
                <w:b/>
                <w:bCs/>
                <w:sz w:val="24"/>
                <w:szCs w:val="24"/>
              </w:rPr>
              <w:t>1</w:t>
            </w:r>
          </w:p>
        </w:tc>
        <w:tc>
          <w:tcPr>
            <w:tcW w:w="961" w:type="pct"/>
          </w:tcPr>
          <w:p w:rsidR="00071D62" w:rsidRPr="00791B66" w:rsidRDefault="00071D62" w:rsidP="00701EEA">
            <w:pPr>
              <w:jc w:val="right"/>
              <w:rPr>
                <w:rFonts w:ascii="Arial" w:hAnsi="Arial" w:cs="Arial"/>
                <w:b/>
                <w:bCs/>
                <w:sz w:val="24"/>
                <w:szCs w:val="24"/>
              </w:rPr>
            </w:pPr>
            <w:r w:rsidRPr="00791B66">
              <w:rPr>
                <w:rFonts w:ascii="Arial" w:hAnsi="Arial" w:cs="Arial"/>
                <w:b/>
                <w:bCs/>
                <w:sz w:val="24"/>
                <w:szCs w:val="24"/>
              </w:rPr>
              <w:t xml:space="preserve">% </w:t>
            </w:r>
            <w:r>
              <w:rPr>
                <w:rFonts w:ascii="Arial" w:hAnsi="Arial" w:cs="Arial"/>
                <w:b/>
                <w:bCs/>
                <w:sz w:val="24"/>
                <w:szCs w:val="24"/>
              </w:rPr>
              <w:t xml:space="preserve">Reported </w:t>
            </w:r>
            <w:r w:rsidRPr="00791B66">
              <w:rPr>
                <w:rFonts w:ascii="Arial" w:hAnsi="Arial" w:cs="Arial"/>
                <w:b/>
                <w:bCs/>
                <w:sz w:val="24"/>
                <w:szCs w:val="24"/>
              </w:rPr>
              <w:t>Change</w:t>
            </w:r>
          </w:p>
        </w:tc>
        <w:tc>
          <w:tcPr>
            <w:tcW w:w="994" w:type="pct"/>
          </w:tcPr>
          <w:p w:rsidR="00071D62" w:rsidRPr="00791B66" w:rsidRDefault="00071D62" w:rsidP="00701EEA">
            <w:pPr>
              <w:jc w:val="right"/>
              <w:rPr>
                <w:rFonts w:ascii="Arial" w:hAnsi="Arial" w:cs="Arial"/>
                <w:b/>
                <w:bCs/>
                <w:sz w:val="24"/>
                <w:szCs w:val="24"/>
              </w:rPr>
            </w:pPr>
            <w:r w:rsidRPr="00791B66">
              <w:rPr>
                <w:rFonts w:ascii="Arial" w:hAnsi="Arial" w:cs="Arial"/>
                <w:b/>
                <w:bCs/>
                <w:sz w:val="24"/>
                <w:szCs w:val="24"/>
              </w:rPr>
              <w:t xml:space="preserve">% </w:t>
            </w:r>
            <w:r>
              <w:rPr>
                <w:rFonts w:ascii="Arial" w:hAnsi="Arial" w:cs="Arial"/>
                <w:b/>
                <w:bCs/>
                <w:sz w:val="24"/>
                <w:szCs w:val="24"/>
              </w:rPr>
              <w:t xml:space="preserve">Constant </w:t>
            </w:r>
            <w:r w:rsidRPr="00791B66">
              <w:rPr>
                <w:rFonts w:ascii="Arial" w:hAnsi="Arial" w:cs="Arial"/>
                <w:b/>
                <w:bCs/>
                <w:sz w:val="24"/>
                <w:szCs w:val="24"/>
              </w:rPr>
              <w:t>Change</w:t>
            </w:r>
          </w:p>
        </w:tc>
      </w:tr>
      <w:tr w:rsidR="00071D62" w:rsidRPr="00791B66">
        <w:trPr>
          <w:trHeight w:val="134"/>
        </w:trPr>
        <w:tc>
          <w:tcPr>
            <w:tcW w:w="1415" w:type="pct"/>
          </w:tcPr>
          <w:p w:rsidR="00071D62" w:rsidRPr="00791B66" w:rsidRDefault="00071D62" w:rsidP="00166D70">
            <w:pPr>
              <w:rPr>
                <w:rFonts w:ascii="Arial" w:hAnsi="Arial" w:cs="Arial"/>
                <w:sz w:val="24"/>
                <w:szCs w:val="24"/>
              </w:rPr>
            </w:pPr>
            <w:r w:rsidRPr="00791B66">
              <w:rPr>
                <w:rFonts w:ascii="Arial" w:hAnsi="Arial" w:cs="Arial"/>
                <w:sz w:val="24"/>
                <w:szCs w:val="24"/>
              </w:rPr>
              <w:t>Other International</w:t>
            </w:r>
          </w:p>
        </w:tc>
        <w:tc>
          <w:tcPr>
            <w:tcW w:w="737" w:type="pct"/>
          </w:tcPr>
          <w:p w:rsidR="00071D62" w:rsidRPr="00791B66" w:rsidRDefault="00071D62" w:rsidP="00701EEA">
            <w:pPr>
              <w:jc w:val="right"/>
              <w:rPr>
                <w:rFonts w:ascii="Arial" w:hAnsi="Arial" w:cs="Arial"/>
                <w:sz w:val="24"/>
                <w:szCs w:val="24"/>
              </w:rPr>
            </w:pPr>
            <w:r>
              <w:rPr>
                <w:rFonts w:ascii="Arial" w:hAnsi="Arial" w:cs="Arial"/>
                <w:sz w:val="24"/>
                <w:szCs w:val="24"/>
              </w:rPr>
              <w:t>90</w:t>
            </w:r>
          </w:p>
        </w:tc>
        <w:tc>
          <w:tcPr>
            <w:tcW w:w="894" w:type="pct"/>
          </w:tcPr>
          <w:p w:rsidR="00071D62" w:rsidRPr="00791B66" w:rsidRDefault="00071D62" w:rsidP="00701EEA">
            <w:pPr>
              <w:jc w:val="right"/>
              <w:rPr>
                <w:rFonts w:ascii="Arial" w:hAnsi="Arial" w:cs="Arial"/>
                <w:sz w:val="24"/>
                <w:szCs w:val="24"/>
              </w:rPr>
            </w:pPr>
            <w:r>
              <w:rPr>
                <w:rFonts w:ascii="Arial" w:hAnsi="Arial" w:cs="Arial"/>
                <w:sz w:val="24"/>
                <w:szCs w:val="24"/>
              </w:rPr>
              <w:t>71</w:t>
            </w:r>
          </w:p>
        </w:tc>
        <w:tc>
          <w:tcPr>
            <w:tcW w:w="961" w:type="pct"/>
          </w:tcPr>
          <w:p w:rsidR="00071D62" w:rsidRPr="00791B66" w:rsidRDefault="00071D62" w:rsidP="00701EEA">
            <w:pPr>
              <w:jc w:val="right"/>
              <w:rPr>
                <w:rFonts w:ascii="Arial" w:hAnsi="Arial" w:cs="Arial"/>
                <w:sz w:val="24"/>
                <w:szCs w:val="24"/>
              </w:rPr>
            </w:pPr>
            <w:r>
              <w:rPr>
                <w:rFonts w:ascii="Arial" w:hAnsi="Arial" w:cs="Arial"/>
                <w:sz w:val="24"/>
                <w:szCs w:val="24"/>
              </w:rPr>
              <w:t>27.1%</w:t>
            </w:r>
          </w:p>
        </w:tc>
        <w:tc>
          <w:tcPr>
            <w:tcW w:w="994" w:type="pct"/>
          </w:tcPr>
          <w:p w:rsidR="00071D62" w:rsidRPr="00791B66" w:rsidRDefault="00071D62" w:rsidP="00701EEA">
            <w:pPr>
              <w:jc w:val="right"/>
              <w:rPr>
                <w:rFonts w:ascii="Arial" w:hAnsi="Arial" w:cs="Arial"/>
                <w:sz w:val="24"/>
                <w:szCs w:val="24"/>
              </w:rPr>
            </w:pPr>
            <w:r>
              <w:rPr>
                <w:rFonts w:ascii="Arial" w:hAnsi="Arial" w:cs="Arial"/>
                <w:sz w:val="24"/>
                <w:szCs w:val="24"/>
              </w:rPr>
              <w:t>24.7%</w:t>
            </w:r>
          </w:p>
        </w:tc>
      </w:tr>
    </w:tbl>
    <w:p w:rsidR="00071D62" w:rsidRPr="00791B66" w:rsidRDefault="00071D62" w:rsidP="00752D54">
      <w:pPr>
        <w:rPr>
          <w:rFonts w:ascii="Arial" w:hAnsi="Arial" w:cs="Arial"/>
          <w:sz w:val="24"/>
          <w:szCs w:val="24"/>
          <w:highlight w:val="yellow"/>
        </w:rPr>
      </w:pPr>
    </w:p>
    <w:p w:rsidR="00071D62" w:rsidRDefault="00071D62" w:rsidP="00752D54">
      <w:pPr>
        <w:jc w:val="left"/>
        <w:rPr>
          <w:rFonts w:ascii="Arial" w:hAnsi="Arial" w:cs="Arial"/>
          <w:i/>
          <w:iCs/>
          <w:sz w:val="18"/>
          <w:szCs w:val="18"/>
        </w:rPr>
      </w:pPr>
      <w:r w:rsidRPr="002A79FF">
        <w:rPr>
          <w:rFonts w:ascii="Arial" w:hAnsi="Arial" w:cs="Arial"/>
          <w:i/>
          <w:iCs/>
          <w:sz w:val="18"/>
          <w:szCs w:val="18"/>
        </w:rPr>
        <w:t>Other International includes Poland, China, Spain, Russia, Turkey JV and Hornbach in Germany. Joint Venture (</w:t>
      </w:r>
      <w:r w:rsidRPr="00DF37D4">
        <w:rPr>
          <w:rFonts w:ascii="Arial" w:hAnsi="Arial" w:cs="Arial"/>
          <w:i/>
          <w:iCs/>
          <w:sz w:val="18"/>
          <w:szCs w:val="18"/>
        </w:rPr>
        <w:t>Koçtaş</w:t>
      </w:r>
      <w:r w:rsidRPr="002A79FF">
        <w:rPr>
          <w:rFonts w:ascii="Arial" w:hAnsi="Arial" w:cs="Arial"/>
          <w:i/>
          <w:iCs/>
          <w:sz w:val="18"/>
          <w:szCs w:val="18"/>
        </w:rPr>
        <w:t xml:space="preserve"> JV) and Associate </w:t>
      </w:r>
      <w:r>
        <w:rPr>
          <w:rFonts w:ascii="Arial" w:hAnsi="Arial" w:cs="Arial"/>
          <w:i/>
          <w:iCs/>
          <w:sz w:val="18"/>
          <w:szCs w:val="18"/>
        </w:rPr>
        <w:t xml:space="preserve">(Hornbach) </w:t>
      </w:r>
      <w:r w:rsidRPr="002A79FF">
        <w:rPr>
          <w:rFonts w:ascii="Arial" w:hAnsi="Arial" w:cs="Arial"/>
          <w:i/>
          <w:iCs/>
          <w:sz w:val="18"/>
          <w:szCs w:val="18"/>
        </w:rPr>
        <w:t>sales are not consolidated</w:t>
      </w:r>
    </w:p>
    <w:p w:rsidR="00071D62" w:rsidRPr="00224FE9" w:rsidRDefault="00071D62" w:rsidP="00CC5773">
      <w:pPr>
        <w:jc w:val="left"/>
        <w:rPr>
          <w:rFonts w:ascii="Arial" w:hAnsi="Arial" w:cs="Arial"/>
          <w:i/>
          <w:iCs/>
          <w:sz w:val="18"/>
          <w:szCs w:val="18"/>
          <w:lang w:val="pl-PL"/>
        </w:rPr>
      </w:pPr>
      <w:r w:rsidRPr="001F052B">
        <w:rPr>
          <w:rFonts w:ascii="Arial" w:hAnsi="Arial" w:cs="Arial"/>
          <w:i/>
          <w:iCs/>
          <w:sz w:val="18"/>
          <w:szCs w:val="18"/>
          <w:lang w:val="pl-PL"/>
        </w:rPr>
        <w:t>201</w:t>
      </w:r>
      <w:r>
        <w:rPr>
          <w:rFonts w:ascii="Arial" w:hAnsi="Arial" w:cs="Arial"/>
          <w:i/>
          <w:iCs/>
          <w:sz w:val="18"/>
          <w:szCs w:val="18"/>
          <w:lang w:val="pl-PL"/>
        </w:rPr>
        <w:t>1</w:t>
      </w:r>
      <w:r w:rsidRPr="001F052B">
        <w:rPr>
          <w:rFonts w:ascii="Arial" w:hAnsi="Arial" w:cs="Arial"/>
          <w:i/>
          <w:iCs/>
          <w:sz w:val="18"/>
          <w:szCs w:val="18"/>
          <w:lang w:val="pl-PL"/>
        </w:rPr>
        <w:t>/1</w:t>
      </w:r>
      <w:r>
        <w:rPr>
          <w:rFonts w:ascii="Arial" w:hAnsi="Arial" w:cs="Arial"/>
          <w:i/>
          <w:iCs/>
          <w:sz w:val="18"/>
          <w:szCs w:val="18"/>
          <w:lang w:val="pl-PL"/>
        </w:rPr>
        <w:t>2</w:t>
      </w:r>
      <w:r w:rsidRPr="001F052B">
        <w:rPr>
          <w:rFonts w:ascii="Arial" w:hAnsi="Arial" w:cs="Arial"/>
          <w:i/>
          <w:iCs/>
          <w:sz w:val="18"/>
          <w:szCs w:val="18"/>
          <w:lang w:val="pl-PL"/>
        </w:rPr>
        <w:t>: £1 = 1.1</w:t>
      </w:r>
      <w:r>
        <w:rPr>
          <w:rFonts w:ascii="Arial" w:hAnsi="Arial" w:cs="Arial"/>
          <w:i/>
          <w:iCs/>
          <w:sz w:val="18"/>
          <w:szCs w:val="18"/>
          <w:lang w:val="pl-PL"/>
        </w:rPr>
        <w:t>4</w:t>
      </w:r>
      <w:r w:rsidRPr="001F052B">
        <w:rPr>
          <w:rFonts w:ascii="Arial" w:hAnsi="Arial" w:cs="Arial"/>
          <w:i/>
          <w:iCs/>
          <w:sz w:val="18"/>
          <w:szCs w:val="18"/>
          <w:lang w:val="pl-PL"/>
        </w:rPr>
        <w:t xml:space="preserve"> euro (20</w:t>
      </w:r>
      <w:r>
        <w:rPr>
          <w:rFonts w:ascii="Arial" w:hAnsi="Arial" w:cs="Arial"/>
          <w:i/>
          <w:iCs/>
          <w:sz w:val="18"/>
          <w:szCs w:val="18"/>
          <w:lang w:val="pl-PL"/>
        </w:rPr>
        <w:t>10</w:t>
      </w:r>
      <w:r w:rsidRPr="001F052B">
        <w:rPr>
          <w:rFonts w:ascii="Arial" w:hAnsi="Arial" w:cs="Arial"/>
          <w:i/>
          <w:iCs/>
          <w:sz w:val="18"/>
          <w:szCs w:val="18"/>
          <w:lang w:val="pl-PL"/>
        </w:rPr>
        <w:t>/1</w:t>
      </w:r>
      <w:r>
        <w:rPr>
          <w:rFonts w:ascii="Arial" w:hAnsi="Arial" w:cs="Arial"/>
          <w:i/>
          <w:iCs/>
          <w:sz w:val="18"/>
          <w:szCs w:val="18"/>
          <w:lang w:val="pl-PL"/>
        </w:rPr>
        <w:t>1</w:t>
      </w:r>
      <w:r w:rsidRPr="001F052B">
        <w:rPr>
          <w:rFonts w:ascii="Arial" w:hAnsi="Arial" w:cs="Arial"/>
          <w:i/>
          <w:iCs/>
          <w:sz w:val="18"/>
          <w:szCs w:val="18"/>
          <w:lang w:val="pl-PL"/>
        </w:rPr>
        <w:t>: 1.1</w:t>
      </w:r>
      <w:r>
        <w:rPr>
          <w:rFonts w:ascii="Arial" w:hAnsi="Arial" w:cs="Arial"/>
          <w:i/>
          <w:iCs/>
          <w:sz w:val="18"/>
          <w:szCs w:val="18"/>
          <w:lang w:val="pl-PL"/>
        </w:rPr>
        <w:t>6</w:t>
      </w:r>
      <w:r w:rsidRPr="001F052B">
        <w:rPr>
          <w:rFonts w:ascii="Arial" w:hAnsi="Arial" w:cs="Arial"/>
          <w:i/>
          <w:iCs/>
          <w:sz w:val="18"/>
          <w:szCs w:val="18"/>
          <w:lang w:val="pl-PL"/>
        </w:rPr>
        <w:t xml:space="preserve"> euro)</w:t>
      </w:r>
      <w:r w:rsidRPr="001F052B">
        <w:rPr>
          <w:rFonts w:ascii="Arial" w:hAnsi="Arial" w:cs="Arial"/>
          <w:sz w:val="18"/>
          <w:szCs w:val="18"/>
          <w:lang w:val="pl-PL"/>
        </w:rPr>
        <w:t> </w:t>
      </w:r>
    </w:p>
    <w:p w:rsidR="00071D62" w:rsidRPr="001F052B" w:rsidRDefault="00071D62" w:rsidP="0043628C">
      <w:pPr>
        <w:jc w:val="left"/>
        <w:rPr>
          <w:rFonts w:ascii="Arial" w:hAnsi="Arial" w:cs="Arial"/>
          <w:i/>
          <w:iCs/>
          <w:sz w:val="18"/>
          <w:szCs w:val="18"/>
          <w:lang w:val="pl-PL"/>
        </w:rPr>
      </w:pPr>
      <w:r w:rsidRPr="001F052B">
        <w:rPr>
          <w:rFonts w:ascii="Arial" w:hAnsi="Arial" w:cs="Arial"/>
          <w:i/>
          <w:iCs/>
          <w:sz w:val="18"/>
          <w:szCs w:val="18"/>
          <w:lang w:val="pl-PL"/>
        </w:rPr>
        <w:t>201</w:t>
      </w:r>
      <w:r>
        <w:rPr>
          <w:rFonts w:ascii="Arial" w:hAnsi="Arial" w:cs="Arial"/>
          <w:i/>
          <w:iCs/>
          <w:sz w:val="18"/>
          <w:szCs w:val="18"/>
          <w:lang w:val="pl-PL"/>
        </w:rPr>
        <w:t>1</w:t>
      </w:r>
      <w:r w:rsidRPr="001F052B">
        <w:rPr>
          <w:rFonts w:ascii="Arial" w:hAnsi="Arial" w:cs="Arial"/>
          <w:i/>
          <w:iCs/>
          <w:sz w:val="18"/>
          <w:szCs w:val="18"/>
          <w:lang w:val="pl-PL"/>
        </w:rPr>
        <w:t>/1</w:t>
      </w:r>
      <w:r>
        <w:rPr>
          <w:rFonts w:ascii="Arial" w:hAnsi="Arial" w:cs="Arial"/>
          <w:i/>
          <w:iCs/>
          <w:sz w:val="18"/>
          <w:szCs w:val="18"/>
          <w:lang w:val="pl-PL"/>
        </w:rPr>
        <w:t>2</w:t>
      </w:r>
      <w:r w:rsidRPr="001F052B">
        <w:rPr>
          <w:rFonts w:ascii="Arial" w:hAnsi="Arial" w:cs="Arial"/>
          <w:i/>
          <w:iCs/>
          <w:sz w:val="18"/>
          <w:szCs w:val="18"/>
          <w:lang w:val="pl-PL"/>
        </w:rPr>
        <w:t>: £1 = 4.</w:t>
      </w:r>
      <w:r>
        <w:rPr>
          <w:rFonts w:ascii="Arial" w:hAnsi="Arial" w:cs="Arial"/>
          <w:i/>
          <w:iCs/>
          <w:sz w:val="18"/>
          <w:szCs w:val="18"/>
          <w:lang w:val="pl-PL"/>
        </w:rPr>
        <w:t>54</w:t>
      </w:r>
      <w:r w:rsidRPr="001F052B">
        <w:rPr>
          <w:rFonts w:ascii="Arial" w:hAnsi="Arial" w:cs="Arial"/>
          <w:i/>
          <w:iCs/>
          <w:sz w:val="18"/>
          <w:szCs w:val="18"/>
          <w:lang w:val="pl-PL"/>
        </w:rPr>
        <w:t xml:space="preserve"> Polish zloty (20</w:t>
      </w:r>
      <w:r>
        <w:rPr>
          <w:rFonts w:ascii="Arial" w:hAnsi="Arial" w:cs="Arial"/>
          <w:i/>
          <w:iCs/>
          <w:sz w:val="18"/>
          <w:szCs w:val="18"/>
          <w:lang w:val="pl-PL"/>
        </w:rPr>
        <w:t>10</w:t>
      </w:r>
      <w:r w:rsidRPr="001F052B">
        <w:rPr>
          <w:rFonts w:ascii="Arial" w:hAnsi="Arial" w:cs="Arial"/>
          <w:i/>
          <w:iCs/>
          <w:sz w:val="18"/>
          <w:szCs w:val="18"/>
          <w:lang w:val="pl-PL"/>
        </w:rPr>
        <w:t>/1</w:t>
      </w:r>
      <w:r>
        <w:rPr>
          <w:rFonts w:ascii="Arial" w:hAnsi="Arial" w:cs="Arial"/>
          <w:i/>
          <w:iCs/>
          <w:sz w:val="18"/>
          <w:szCs w:val="18"/>
          <w:lang w:val="pl-PL"/>
        </w:rPr>
        <w:t>1</w:t>
      </w:r>
      <w:r w:rsidRPr="001F052B">
        <w:rPr>
          <w:rFonts w:ascii="Arial" w:hAnsi="Arial" w:cs="Arial"/>
          <w:i/>
          <w:iCs/>
          <w:sz w:val="18"/>
          <w:szCs w:val="18"/>
          <w:lang w:val="pl-PL"/>
        </w:rPr>
        <w:t>: £1 = 4.</w:t>
      </w:r>
      <w:r>
        <w:rPr>
          <w:rFonts w:ascii="Arial" w:hAnsi="Arial" w:cs="Arial"/>
          <w:i/>
          <w:iCs/>
          <w:sz w:val="18"/>
          <w:szCs w:val="18"/>
          <w:lang w:val="pl-PL"/>
        </w:rPr>
        <w:t>64</w:t>
      </w:r>
      <w:r w:rsidRPr="001F052B">
        <w:rPr>
          <w:rFonts w:ascii="Arial" w:hAnsi="Arial" w:cs="Arial"/>
          <w:i/>
          <w:iCs/>
          <w:sz w:val="18"/>
          <w:szCs w:val="18"/>
          <w:lang w:val="pl-PL"/>
        </w:rPr>
        <w:t xml:space="preserve"> Polish zloty)</w:t>
      </w:r>
    </w:p>
    <w:p w:rsidR="00071D62" w:rsidRPr="00C45303" w:rsidRDefault="00071D62" w:rsidP="0043628C">
      <w:pPr>
        <w:jc w:val="left"/>
        <w:rPr>
          <w:rFonts w:ascii="Arial" w:hAnsi="Arial" w:cs="Arial"/>
          <w:i/>
          <w:iCs/>
          <w:sz w:val="18"/>
          <w:szCs w:val="18"/>
        </w:rPr>
      </w:pPr>
      <w:r w:rsidRPr="00C45303">
        <w:rPr>
          <w:rFonts w:ascii="Arial" w:hAnsi="Arial" w:cs="Arial"/>
          <w:i/>
          <w:iCs/>
          <w:sz w:val="18"/>
          <w:szCs w:val="18"/>
        </w:rPr>
        <w:t>201</w:t>
      </w:r>
      <w:r>
        <w:rPr>
          <w:rFonts w:ascii="Arial" w:hAnsi="Arial" w:cs="Arial"/>
          <w:i/>
          <w:iCs/>
          <w:sz w:val="18"/>
          <w:szCs w:val="18"/>
        </w:rPr>
        <w:t>1</w:t>
      </w:r>
      <w:r w:rsidRPr="00C45303">
        <w:rPr>
          <w:rFonts w:ascii="Arial" w:hAnsi="Arial" w:cs="Arial"/>
          <w:i/>
          <w:iCs/>
          <w:sz w:val="18"/>
          <w:szCs w:val="18"/>
        </w:rPr>
        <w:t>/1</w:t>
      </w:r>
      <w:r>
        <w:rPr>
          <w:rFonts w:ascii="Arial" w:hAnsi="Arial" w:cs="Arial"/>
          <w:i/>
          <w:iCs/>
          <w:sz w:val="18"/>
          <w:szCs w:val="18"/>
        </w:rPr>
        <w:t>2</w:t>
      </w:r>
      <w:r w:rsidRPr="00C45303">
        <w:rPr>
          <w:rFonts w:ascii="Arial" w:hAnsi="Arial" w:cs="Arial"/>
          <w:i/>
          <w:iCs/>
          <w:sz w:val="18"/>
          <w:szCs w:val="18"/>
        </w:rPr>
        <w:t>: £1 = 10.</w:t>
      </w:r>
      <w:r>
        <w:rPr>
          <w:rFonts w:ascii="Arial" w:hAnsi="Arial" w:cs="Arial"/>
          <w:i/>
          <w:iCs/>
          <w:sz w:val="18"/>
          <w:szCs w:val="18"/>
        </w:rPr>
        <w:t>56</w:t>
      </w:r>
      <w:r w:rsidRPr="00C45303">
        <w:rPr>
          <w:rFonts w:ascii="Arial" w:hAnsi="Arial" w:cs="Arial"/>
          <w:i/>
          <w:iCs/>
          <w:sz w:val="18"/>
          <w:szCs w:val="18"/>
        </w:rPr>
        <w:t xml:space="preserve"> Chinese renminbi (20</w:t>
      </w:r>
      <w:r>
        <w:rPr>
          <w:rFonts w:ascii="Arial" w:hAnsi="Arial" w:cs="Arial"/>
          <w:i/>
          <w:iCs/>
          <w:sz w:val="18"/>
          <w:szCs w:val="18"/>
        </w:rPr>
        <w:t>10</w:t>
      </w:r>
      <w:r w:rsidRPr="00C45303">
        <w:rPr>
          <w:rFonts w:ascii="Arial" w:hAnsi="Arial" w:cs="Arial"/>
          <w:i/>
          <w:iCs/>
          <w:sz w:val="18"/>
          <w:szCs w:val="18"/>
        </w:rPr>
        <w:t>/1</w:t>
      </w:r>
      <w:r>
        <w:rPr>
          <w:rFonts w:ascii="Arial" w:hAnsi="Arial" w:cs="Arial"/>
          <w:i/>
          <w:iCs/>
          <w:sz w:val="18"/>
          <w:szCs w:val="18"/>
        </w:rPr>
        <w:t>1</w:t>
      </w:r>
      <w:r w:rsidRPr="00C45303">
        <w:rPr>
          <w:rFonts w:ascii="Arial" w:hAnsi="Arial" w:cs="Arial"/>
          <w:i/>
          <w:iCs/>
          <w:sz w:val="18"/>
          <w:szCs w:val="18"/>
        </w:rPr>
        <w:t>: £1 = 10.</w:t>
      </w:r>
      <w:r>
        <w:rPr>
          <w:rFonts w:ascii="Arial" w:hAnsi="Arial" w:cs="Arial"/>
          <w:i/>
          <w:iCs/>
          <w:sz w:val="18"/>
          <w:szCs w:val="18"/>
        </w:rPr>
        <w:t>31</w:t>
      </w:r>
      <w:r w:rsidRPr="00C45303">
        <w:rPr>
          <w:rFonts w:ascii="Arial" w:hAnsi="Arial" w:cs="Arial"/>
          <w:i/>
          <w:iCs/>
          <w:sz w:val="18"/>
          <w:szCs w:val="18"/>
        </w:rPr>
        <w:t xml:space="preserve"> Chinese renminbi)</w:t>
      </w:r>
    </w:p>
    <w:p w:rsidR="00071D62" w:rsidRPr="002A79FF" w:rsidRDefault="00071D62" w:rsidP="00752D54">
      <w:pPr>
        <w:jc w:val="left"/>
        <w:rPr>
          <w:rFonts w:ascii="Arial" w:hAnsi="Arial" w:cs="Arial"/>
          <w:i/>
          <w:iCs/>
          <w:sz w:val="18"/>
          <w:szCs w:val="18"/>
        </w:rPr>
      </w:pPr>
    </w:p>
    <w:p w:rsidR="00071D62" w:rsidRPr="00A254DD" w:rsidRDefault="00071D62" w:rsidP="00752D54">
      <w:pPr>
        <w:jc w:val="left"/>
        <w:rPr>
          <w:rFonts w:ascii="Arial" w:hAnsi="Arial" w:cs="Arial"/>
          <w:b/>
          <w:bCs/>
          <w:i/>
          <w:iCs/>
          <w:sz w:val="18"/>
          <w:szCs w:val="18"/>
        </w:rPr>
      </w:pPr>
      <w:r w:rsidRPr="00A254DD">
        <w:rPr>
          <w:rFonts w:ascii="Arial" w:hAnsi="Arial" w:cs="Arial"/>
          <w:b/>
          <w:bCs/>
          <w:i/>
          <w:iCs/>
          <w:sz w:val="18"/>
          <w:szCs w:val="18"/>
        </w:rPr>
        <w:t>All trading commentary below is in constant currencies</w:t>
      </w:r>
    </w:p>
    <w:p w:rsidR="00071D62" w:rsidRPr="00791B66" w:rsidRDefault="00071D62" w:rsidP="00752D54">
      <w:pPr>
        <w:jc w:val="left"/>
        <w:rPr>
          <w:rFonts w:ascii="Arial" w:hAnsi="Arial" w:cs="Arial"/>
          <w:sz w:val="24"/>
          <w:szCs w:val="24"/>
          <w:highlight w:val="yellow"/>
        </w:rPr>
      </w:pPr>
    </w:p>
    <w:p w:rsidR="00071D62" w:rsidRDefault="00071D62" w:rsidP="00752D54">
      <w:pPr>
        <w:jc w:val="left"/>
        <w:rPr>
          <w:rFonts w:ascii="Arial" w:hAnsi="Arial" w:cs="Arial"/>
          <w:sz w:val="24"/>
          <w:szCs w:val="24"/>
        </w:rPr>
      </w:pPr>
      <w:r w:rsidRPr="00791B66">
        <w:rPr>
          <w:rFonts w:ascii="Arial" w:hAnsi="Arial" w:cs="Arial"/>
          <w:b/>
          <w:bCs/>
          <w:sz w:val="24"/>
          <w:szCs w:val="24"/>
        </w:rPr>
        <w:t>Other International</w:t>
      </w:r>
      <w:r w:rsidRPr="00791B66">
        <w:rPr>
          <w:rFonts w:ascii="Arial" w:hAnsi="Arial" w:cs="Arial"/>
          <w:sz w:val="24"/>
          <w:szCs w:val="24"/>
        </w:rPr>
        <w:t xml:space="preserve"> total sales increased </w:t>
      </w:r>
      <w:r>
        <w:rPr>
          <w:rFonts w:ascii="Arial" w:hAnsi="Arial" w:cs="Arial"/>
          <w:sz w:val="24"/>
          <w:szCs w:val="24"/>
        </w:rPr>
        <w:t>by 6.9</w:t>
      </w:r>
      <w:r w:rsidRPr="00791B66">
        <w:rPr>
          <w:rFonts w:ascii="Arial" w:hAnsi="Arial" w:cs="Arial"/>
          <w:sz w:val="24"/>
          <w:szCs w:val="24"/>
        </w:rPr>
        <w:t>% to £</w:t>
      </w:r>
      <w:r>
        <w:rPr>
          <w:rFonts w:ascii="Arial" w:hAnsi="Arial" w:cs="Arial"/>
          <w:sz w:val="24"/>
          <w:szCs w:val="24"/>
        </w:rPr>
        <w:t>1.0</w:t>
      </w:r>
      <w:r w:rsidRPr="00791B66">
        <w:rPr>
          <w:rFonts w:ascii="Arial" w:hAnsi="Arial" w:cs="Arial"/>
          <w:sz w:val="24"/>
          <w:szCs w:val="24"/>
        </w:rPr>
        <w:t xml:space="preserve"> </w:t>
      </w:r>
      <w:r>
        <w:rPr>
          <w:rFonts w:ascii="Arial" w:hAnsi="Arial" w:cs="Arial"/>
          <w:sz w:val="24"/>
          <w:szCs w:val="24"/>
        </w:rPr>
        <w:t>b</w:t>
      </w:r>
      <w:r w:rsidRPr="00791B66">
        <w:rPr>
          <w:rFonts w:ascii="Arial" w:hAnsi="Arial" w:cs="Arial"/>
          <w:sz w:val="24"/>
          <w:szCs w:val="24"/>
        </w:rPr>
        <w:t>illion (</w:t>
      </w:r>
      <w:r>
        <w:rPr>
          <w:rFonts w:ascii="Arial" w:hAnsi="Arial" w:cs="Arial"/>
          <w:sz w:val="24"/>
          <w:szCs w:val="24"/>
        </w:rPr>
        <w:t>+2.5</w:t>
      </w:r>
      <w:r w:rsidRPr="00791B66">
        <w:rPr>
          <w:rFonts w:ascii="Arial" w:hAnsi="Arial" w:cs="Arial"/>
          <w:sz w:val="24"/>
          <w:szCs w:val="24"/>
        </w:rPr>
        <w:t>% LFL)</w:t>
      </w:r>
      <w:r>
        <w:rPr>
          <w:rFonts w:ascii="Arial" w:hAnsi="Arial" w:cs="Arial"/>
          <w:sz w:val="24"/>
          <w:szCs w:val="24"/>
        </w:rPr>
        <w:t>. Retail p</w:t>
      </w:r>
      <w:r w:rsidRPr="00791B66">
        <w:rPr>
          <w:rFonts w:ascii="Arial" w:hAnsi="Arial" w:cs="Arial"/>
          <w:sz w:val="24"/>
          <w:szCs w:val="24"/>
        </w:rPr>
        <w:t xml:space="preserve">rofit was up </w:t>
      </w:r>
      <w:r>
        <w:rPr>
          <w:rFonts w:ascii="Arial" w:hAnsi="Arial" w:cs="Arial"/>
          <w:sz w:val="24"/>
          <w:szCs w:val="24"/>
        </w:rPr>
        <w:t>24.7</w:t>
      </w:r>
      <w:r w:rsidRPr="00791B66">
        <w:rPr>
          <w:rFonts w:ascii="Arial" w:hAnsi="Arial" w:cs="Arial"/>
          <w:sz w:val="24"/>
          <w:szCs w:val="24"/>
        </w:rPr>
        <w:t>% to £</w:t>
      </w:r>
      <w:r>
        <w:rPr>
          <w:rFonts w:ascii="Arial" w:hAnsi="Arial" w:cs="Arial"/>
          <w:sz w:val="24"/>
          <w:szCs w:val="24"/>
        </w:rPr>
        <w:t xml:space="preserve">90 million driven by profit growth in Poland, Spain, Turkey and Germany and lower losses in Russia and China.  </w:t>
      </w:r>
    </w:p>
    <w:p w:rsidR="00071D62" w:rsidRPr="00791B66" w:rsidRDefault="00071D62" w:rsidP="00752D54">
      <w:pPr>
        <w:jc w:val="left"/>
        <w:rPr>
          <w:rFonts w:ascii="Arial" w:hAnsi="Arial" w:cs="Arial"/>
          <w:sz w:val="24"/>
          <w:szCs w:val="24"/>
        </w:rPr>
      </w:pPr>
    </w:p>
    <w:p w:rsidR="00071D62" w:rsidRPr="00A50F81" w:rsidRDefault="00071D62" w:rsidP="00752D54">
      <w:pPr>
        <w:jc w:val="left"/>
        <w:rPr>
          <w:rFonts w:ascii="Arial" w:hAnsi="Arial" w:cs="Arial"/>
          <w:sz w:val="24"/>
          <w:szCs w:val="24"/>
        </w:rPr>
      </w:pPr>
      <w:r w:rsidRPr="00A50F81">
        <w:rPr>
          <w:rFonts w:ascii="Arial" w:hAnsi="Arial" w:cs="Arial"/>
          <w:sz w:val="24"/>
          <w:szCs w:val="24"/>
        </w:rPr>
        <w:t xml:space="preserve">During </w:t>
      </w:r>
      <w:r>
        <w:rPr>
          <w:rFonts w:ascii="Arial" w:hAnsi="Arial" w:cs="Arial"/>
          <w:sz w:val="24"/>
          <w:szCs w:val="24"/>
        </w:rPr>
        <w:t>H1</w:t>
      </w:r>
      <w:r w:rsidRPr="00A50F81">
        <w:rPr>
          <w:rFonts w:ascii="Arial" w:hAnsi="Arial" w:cs="Arial"/>
          <w:sz w:val="24"/>
          <w:szCs w:val="24"/>
        </w:rPr>
        <w:t xml:space="preserve">, </w:t>
      </w:r>
      <w:r>
        <w:rPr>
          <w:rFonts w:ascii="Arial" w:hAnsi="Arial" w:cs="Arial"/>
          <w:sz w:val="24"/>
          <w:szCs w:val="24"/>
        </w:rPr>
        <w:t>five</w:t>
      </w:r>
      <w:r w:rsidRPr="00A50F81">
        <w:rPr>
          <w:rFonts w:ascii="Arial" w:hAnsi="Arial" w:cs="Arial"/>
          <w:sz w:val="24"/>
          <w:szCs w:val="24"/>
        </w:rPr>
        <w:t xml:space="preserve"> </w:t>
      </w:r>
      <w:r>
        <w:rPr>
          <w:rFonts w:ascii="Arial" w:hAnsi="Arial" w:cs="Arial"/>
          <w:sz w:val="24"/>
          <w:szCs w:val="24"/>
        </w:rPr>
        <w:t xml:space="preserve">net </w:t>
      </w:r>
      <w:r w:rsidRPr="00A50F81">
        <w:rPr>
          <w:rFonts w:ascii="Arial" w:hAnsi="Arial" w:cs="Arial"/>
          <w:sz w:val="24"/>
          <w:szCs w:val="24"/>
        </w:rPr>
        <w:t xml:space="preserve">new stores opened, </w:t>
      </w:r>
      <w:r>
        <w:rPr>
          <w:rFonts w:ascii="Arial" w:hAnsi="Arial" w:cs="Arial"/>
          <w:sz w:val="24"/>
          <w:szCs w:val="24"/>
        </w:rPr>
        <w:t>two</w:t>
      </w:r>
      <w:r w:rsidRPr="00A50F81">
        <w:rPr>
          <w:rFonts w:ascii="Arial" w:hAnsi="Arial" w:cs="Arial"/>
          <w:sz w:val="24"/>
          <w:szCs w:val="24"/>
        </w:rPr>
        <w:t xml:space="preserve"> in Poland, two in Russia, </w:t>
      </w:r>
      <w:r>
        <w:rPr>
          <w:rFonts w:ascii="Arial" w:hAnsi="Arial" w:cs="Arial"/>
          <w:sz w:val="24"/>
          <w:szCs w:val="24"/>
        </w:rPr>
        <w:t>two</w:t>
      </w:r>
      <w:r w:rsidRPr="00A50F81">
        <w:rPr>
          <w:rFonts w:ascii="Arial" w:hAnsi="Arial" w:cs="Arial"/>
          <w:sz w:val="24"/>
          <w:szCs w:val="24"/>
        </w:rPr>
        <w:t xml:space="preserve"> in Turkey and one </w:t>
      </w:r>
      <w:r>
        <w:rPr>
          <w:rFonts w:ascii="Arial" w:hAnsi="Arial" w:cs="Arial"/>
          <w:sz w:val="24"/>
          <w:szCs w:val="24"/>
        </w:rPr>
        <w:t xml:space="preserve">rationalisation </w:t>
      </w:r>
      <w:r w:rsidRPr="00A50F81">
        <w:rPr>
          <w:rFonts w:ascii="Arial" w:hAnsi="Arial" w:cs="Arial"/>
          <w:sz w:val="24"/>
          <w:szCs w:val="24"/>
        </w:rPr>
        <w:t xml:space="preserve">in </w:t>
      </w:r>
      <w:r>
        <w:rPr>
          <w:rFonts w:ascii="Arial" w:hAnsi="Arial" w:cs="Arial"/>
          <w:sz w:val="24"/>
          <w:szCs w:val="24"/>
        </w:rPr>
        <w:t>China</w:t>
      </w:r>
      <w:r w:rsidRPr="00A50F81">
        <w:rPr>
          <w:rFonts w:ascii="Arial" w:hAnsi="Arial" w:cs="Arial"/>
          <w:sz w:val="24"/>
          <w:szCs w:val="24"/>
        </w:rPr>
        <w:t xml:space="preserve">, adding around </w:t>
      </w:r>
      <w:r>
        <w:rPr>
          <w:rFonts w:ascii="Arial" w:hAnsi="Arial" w:cs="Arial"/>
          <w:sz w:val="24"/>
          <w:szCs w:val="24"/>
        </w:rPr>
        <w:t>3</w:t>
      </w:r>
      <w:r w:rsidRPr="00A50F81">
        <w:rPr>
          <w:rFonts w:ascii="Arial" w:hAnsi="Arial" w:cs="Arial"/>
          <w:sz w:val="24"/>
          <w:szCs w:val="24"/>
        </w:rPr>
        <w:t>% new space. A further 1</w:t>
      </w:r>
      <w:r>
        <w:rPr>
          <w:rFonts w:ascii="Arial" w:hAnsi="Arial" w:cs="Arial"/>
          <w:sz w:val="24"/>
          <w:szCs w:val="24"/>
        </w:rPr>
        <w:t>0</w:t>
      </w:r>
      <w:r w:rsidRPr="00A50F81">
        <w:rPr>
          <w:rFonts w:ascii="Arial" w:hAnsi="Arial" w:cs="Arial"/>
          <w:sz w:val="24"/>
          <w:szCs w:val="24"/>
        </w:rPr>
        <w:t xml:space="preserve"> new stores are planned for </w:t>
      </w:r>
      <w:r>
        <w:rPr>
          <w:rFonts w:ascii="Arial" w:hAnsi="Arial" w:cs="Arial"/>
          <w:sz w:val="24"/>
          <w:szCs w:val="24"/>
        </w:rPr>
        <w:t>H2</w:t>
      </w:r>
      <w:r w:rsidRPr="00A50F81">
        <w:rPr>
          <w:rFonts w:ascii="Arial" w:hAnsi="Arial" w:cs="Arial"/>
          <w:sz w:val="24"/>
          <w:szCs w:val="24"/>
        </w:rPr>
        <w:t xml:space="preserve">, including </w:t>
      </w:r>
      <w:r>
        <w:rPr>
          <w:rFonts w:ascii="Arial" w:hAnsi="Arial" w:cs="Arial"/>
          <w:sz w:val="24"/>
          <w:szCs w:val="24"/>
        </w:rPr>
        <w:t>four</w:t>
      </w:r>
      <w:r w:rsidRPr="00A50F81">
        <w:rPr>
          <w:rFonts w:ascii="Arial" w:hAnsi="Arial" w:cs="Arial"/>
          <w:sz w:val="24"/>
          <w:szCs w:val="24"/>
        </w:rPr>
        <w:t xml:space="preserve"> in Poland, </w:t>
      </w:r>
      <w:r>
        <w:rPr>
          <w:rFonts w:ascii="Arial" w:hAnsi="Arial" w:cs="Arial"/>
          <w:sz w:val="24"/>
          <w:szCs w:val="24"/>
        </w:rPr>
        <w:t>two</w:t>
      </w:r>
      <w:r w:rsidRPr="00A50F81">
        <w:rPr>
          <w:rFonts w:ascii="Arial" w:hAnsi="Arial" w:cs="Arial"/>
          <w:sz w:val="24"/>
          <w:szCs w:val="24"/>
        </w:rPr>
        <w:t xml:space="preserve"> in Russia and </w:t>
      </w:r>
      <w:r>
        <w:rPr>
          <w:rFonts w:ascii="Arial" w:hAnsi="Arial" w:cs="Arial"/>
          <w:sz w:val="24"/>
          <w:szCs w:val="24"/>
        </w:rPr>
        <w:t>four</w:t>
      </w:r>
      <w:r w:rsidRPr="00A50F81">
        <w:rPr>
          <w:rFonts w:ascii="Arial" w:hAnsi="Arial" w:cs="Arial"/>
          <w:sz w:val="24"/>
          <w:szCs w:val="24"/>
        </w:rPr>
        <w:t xml:space="preserve"> in Turkey, adding around 1</w:t>
      </w:r>
      <w:r>
        <w:rPr>
          <w:rFonts w:ascii="Arial" w:hAnsi="Arial" w:cs="Arial"/>
          <w:sz w:val="24"/>
          <w:szCs w:val="24"/>
        </w:rPr>
        <w:t>0</w:t>
      </w:r>
      <w:r w:rsidRPr="00A50F81">
        <w:rPr>
          <w:rFonts w:ascii="Arial" w:hAnsi="Arial" w:cs="Arial"/>
          <w:sz w:val="24"/>
          <w:szCs w:val="24"/>
        </w:rPr>
        <w:t>% new space</w:t>
      </w:r>
      <w:r>
        <w:rPr>
          <w:rFonts w:ascii="Arial" w:hAnsi="Arial" w:cs="Arial"/>
          <w:sz w:val="24"/>
          <w:szCs w:val="24"/>
        </w:rPr>
        <w:t xml:space="preserve"> for the full year.</w:t>
      </w:r>
    </w:p>
    <w:p w:rsidR="00071D62" w:rsidRPr="005C39C0" w:rsidRDefault="00071D62" w:rsidP="00752D54">
      <w:pPr>
        <w:jc w:val="left"/>
        <w:rPr>
          <w:rFonts w:ascii="Arial" w:hAnsi="Arial" w:cs="Arial"/>
          <w:sz w:val="24"/>
          <w:szCs w:val="24"/>
          <w:highlight w:val="yellow"/>
        </w:rPr>
      </w:pPr>
    </w:p>
    <w:p w:rsidR="00071D62" w:rsidRPr="00F9554F" w:rsidRDefault="00071D62" w:rsidP="00752D54">
      <w:pPr>
        <w:jc w:val="left"/>
        <w:rPr>
          <w:rFonts w:ascii="Arial" w:hAnsi="Arial" w:cs="Arial"/>
          <w:sz w:val="24"/>
          <w:szCs w:val="24"/>
        </w:rPr>
      </w:pPr>
      <w:r w:rsidRPr="00F9554F">
        <w:rPr>
          <w:rFonts w:ascii="Arial" w:hAnsi="Arial" w:cs="Arial"/>
          <w:sz w:val="24"/>
          <w:szCs w:val="24"/>
        </w:rPr>
        <w:t xml:space="preserve">In </w:t>
      </w:r>
      <w:r w:rsidRPr="00F9554F">
        <w:rPr>
          <w:rFonts w:ascii="Arial" w:hAnsi="Arial" w:cs="Arial"/>
          <w:b/>
          <w:bCs/>
          <w:sz w:val="24"/>
          <w:szCs w:val="24"/>
        </w:rPr>
        <w:t xml:space="preserve">Eastern Europe </w:t>
      </w:r>
      <w:r w:rsidRPr="00F9554F">
        <w:rPr>
          <w:rFonts w:ascii="Arial" w:hAnsi="Arial" w:cs="Arial"/>
          <w:sz w:val="24"/>
          <w:szCs w:val="24"/>
        </w:rPr>
        <w:t xml:space="preserve">sales in </w:t>
      </w:r>
      <w:r w:rsidRPr="00F9554F">
        <w:rPr>
          <w:rFonts w:ascii="Arial" w:hAnsi="Arial" w:cs="Arial"/>
          <w:b/>
          <w:bCs/>
          <w:sz w:val="24"/>
          <w:szCs w:val="24"/>
        </w:rPr>
        <w:t>Poland</w:t>
      </w:r>
      <w:r w:rsidRPr="00F9554F">
        <w:rPr>
          <w:rFonts w:ascii="Arial" w:hAnsi="Arial" w:cs="Arial"/>
          <w:sz w:val="24"/>
          <w:szCs w:val="24"/>
        </w:rPr>
        <w:t xml:space="preserve"> were up </w:t>
      </w:r>
      <w:r>
        <w:rPr>
          <w:rFonts w:ascii="Arial" w:hAnsi="Arial" w:cs="Arial"/>
          <w:sz w:val="24"/>
          <w:szCs w:val="24"/>
        </w:rPr>
        <w:t>6.3</w:t>
      </w:r>
      <w:r w:rsidRPr="00F9554F">
        <w:rPr>
          <w:rFonts w:ascii="Arial" w:hAnsi="Arial" w:cs="Arial"/>
          <w:sz w:val="24"/>
          <w:szCs w:val="24"/>
        </w:rPr>
        <w:t>% (</w:t>
      </w:r>
      <w:r>
        <w:rPr>
          <w:rFonts w:ascii="Arial" w:hAnsi="Arial" w:cs="Arial"/>
          <w:sz w:val="24"/>
          <w:szCs w:val="24"/>
        </w:rPr>
        <w:t>+2.4</w:t>
      </w:r>
      <w:r w:rsidRPr="00F9554F">
        <w:rPr>
          <w:rFonts w:ascii="Arial" w:hAnsi="Arial" w:cs="Arial"/>
          <w:sz w:val="24"/>
          <w:szCs w:val="24"/>
        </w:rPr>
        <w:t>% LFL) to £</w:t>
      </w:r>
      <w:r>
        <w:rPr>
          <w:rFonts w:ascii="Arial" w:hAnsi="Arial" w:cs="Arial"/>
          <w:sz w:val="24"/>
          <w:szCs w:val="24"/>
        </w:rPr>
        <w:t>570</w:t>
      </w:r>
      <w:r w:rsidRPr="00F9554F">
        <w:rPr>
          <w:rFonts w:ascii="Arial" w:hAnsi="Arial" w:cs="Arial"/>
          <w:sz w:val="24"/>
          <w:szCs w:val="24"/>
        </w:rPr>
        <w:t xml:space="preserve"> million</w:t>
      </w:r>
      <w:r>
        <w:rPr>
          <w:rFonts w:ascii="Arial" w:hAnsi="Arial" w:cs="Arial"/>
          <w:sz w:val="24"/>
          <w:szCs w:val="24"/>
        </w:rPr>
        <w:t xml:space="preserve">. </w:t>
      </w:r>
      <w:r w:rsidRPr="00F9554F">
        <w:rPr>
          <w:rFonts w:ascii="Arial" w:hAnsi="Arial" w:cs="Arial"/>
          <w:sz w:val="24"/>
          <w:szCs w:val="24"/>
        </w:rPr>
        <w:t xml:space="preserve">New bathroom and garden catalogues and expanded decoration ranges all boosted sales and profits. Retail profit was up </w:t>
      </w:r>
      <w:r>
        <w:rPr>
          <w:rFonts w:ascii="Arial" w:hAnsi="Arial" w:cs="Arial"/>
          <w:sz w:val="24"/>
          <w:szCs w:val="24"/>
        </w:rPr>
        <w:t>5.6</w:t>
      </w:r>
      <w:r w:rsidRPr="00F9554F">
        <w:rPr>
          <w:rFonts w:ascii="Arial" w:hAnsi="Arial" w:cs="Arial"/>
          <w:sz w:val="24"/>
          <w:szCs w:val="24"/>
        </w:rPr>
        <w:t>% to £</w:t>
      </w:r>
      <w:r>
        <w:rPr>
          <w:rFonts w:ascii="Arial" w:hAnsi="Arial" w:cs="Arial"/>
          <w:sz w:val="24"/>
          <w:szCs w:val="24"/>
        </w:rPr>
        <w:t>70</w:t>
      </w:r>
      <w:r w:rsidRPr="00F9554F">
        <w:rPr>
          <w:rFonts w:ascii="Arial" w:hAnsi="Arial" w:cs="Arial"/>
          <w:sz w:val="24"/>
          <w:szCs w:val="24"/>
        </w:rPr>
        <w:t xml:space="preserve"> million </w:t>
      </w:r>
      <w:r>
        <w:rPr>
          <w:rFonts w:ascii="Arial" w:hAnsi="Arial" w:cs="Arial"/>
          <w:sz w:val="24"/>
          <w:szCs w:val="24"/>
        </w:rPr>
        <w:t>reflecting</w:t>
      </w:r>
      <w:r w:rsidRPr="00F9554F">
        <w:rPr>
          <w:rFonts w:ascii="Arial" w:hAnsi="Arial" w:cs="Arial"/>
          <w:sz w:val="24"/>
          <w:szCs w:val="24"/>
        </w:rPr>
        <w:t xml:space="preserve"> the </w:t>
      </w:r>
      <w:r>
        <w:rPr>
          <w:rFonts w:ascii="Arial" w:hAnsi="Arial" w:cs="Arial"/>
          <w:sz w:val="24"/>
          <w:szCs w:val="24"/>
        </w:rPr>
        <w:t xml:space="preserve">solid </w:t>
      </w:r>
      <w:r w:rsidRPr="00F9554F">
        <w:rPr>
          <w:rFonts w:ascii="Arial" w:hAnsi="Arial" w:cs="Arial"/>
          <w:sz w:val="24"/>
          <w:szCs w:val="24"/>
        </w:rPr>
        <w:t>sales growth</w:t>
      </w:r>
      <w:r>
        <w:rPr>
          <w:rFonts w:ascii="Arial" w:hAnsi="Arial" w:cs="Arial"/>
          <w:sz w:val="24"/>
          <w:szCs w:val="24"/>
        </w:rPr>
        <w:t xml:space="preserve"> with </w:t>
      </w:r>
      <w:r w:rsidRPr="00F9554F">
        <w:rPr>
          <w:rFonts w:ascii="Arial" w:hAnsi="Arial" w:cs="Arial"/>
          <w:sz w:val="24"/>
          <w:szCs w:val="24"/>
        </w:rPr>
        <w:t>gross margins benefiting</w:t>
      </w:r>
      <w:r>
        <w:rPr>
          <w:rFonts w:ascii="Arial" w:hAnsi="Arial" w:cs="Arial"/>
          <w:sz w:val="24"/>
          <w:szCs w:val="24"/>
        </w:rPr>
        <w:t xml:space="preserve"> </w:t>
      </w:r>
      <w:r w:rsidRPr="00F9554F">
        <w:rPr>
          <w:rFonts w:ascii="Arial" w:hAnsi="Arial" w:cs="Arial"/>
          <w:sz w:val="24"/>
          <w:szCs w:val="24"/>
        </w:rPr>
        <w:t>(+</w:t>
      </w:r>
      <w:r>
        <w:rPr>
          <w:rFonts w:ascii="Arial" w:hAnsi="Arial" w:cs="Arial"/>
          <w:sz w:val="24"/>
          <w:szCs w:val="24"/>
        </w:rPr>
        <w:t>3</w:t>
      </w:r>
      <w:r w:rsidRPr="00F9554F">
        <w:rPr>
          <w:rFonts w:ascii="Arial" w:hAnsi="Arial" w:cs="Arial"/>
          <w:sz w:val="24"/>
          <w:szCs w:val="24"/>
        </w:rPr>
        <w:t>0 basis points)</w:t>
      </w:r>
      <w:r>
        <w:rPr>
          <w:rFonts w:ascii="Arial" w:hAnsi="Arial" w:cs="Arial"/>
          <w:sz w:val="24"/>
          <w:szCs w:val="24"/>
        </w:rPr>
        <w:t xml:space="preserve"> </w:t>
      </w:r>
      <w:r w:rsidRPr="00F9554F">
        <w:rPr>
          <w:rFonts w:ascii="Arial" w:hAnsi="Arial" w:cs="Arial"/>
          <w:sz w:val="24"/>
          <w:szCs w:val="24"/>
        </w:rPr>
        <w:t xml:space="preserve">from </w:t>
      </w:r>
      <w:r>
        <w:rPr>
          <w:rFonts w:ascii="Arial" w:hAnsi="Arial" w:cs="Arial"/>
          <w:sz w:val="24"/>
          <w:szCs w:val="24"/>
        </w:rPr>
        <w:t>more direct sourcing and continued tight cost control</w:t>
      </w:r>
      <w:r w:rsidRPr="00F9554F">
        <w:rPr>
          <w:rFonts w:ascii="Arial" w:hAnsi="Arial" w:cs="Arial"/>
          <w:sz w:val="24"/>
          <w:szCs w:val="24"/>
        </w:rPr>
        <w:t xml:space="preserve">. </w:t>
      </w:r>
      <w:r>
        <w:rPr>
          <w:rFonts w:ascii="Arial" w:hAnsi="Arial" w:cs="Arial"/>
          <w:sz w:val="24"/>
          <w:szCs w:val="24"/>
        </w:rPr>
        <w:t xml:space="preserve">In </w:t>
      </w:r>
      <w:r w:rsidRPr="00F9554F">
        <w:rPr>
          <w:rFonts w:ascii="Arial" w:hAnsi="Arial" w:cs="Arial"/>
          <w:b/>
          <w:bCs/>
          <w:sz w:val="24"/>
          <w:szCs w:val="24"/>
        </w:rPr>
        <w:t>Russia</w:t>
      </w:r>
      <w:r w:rsidRPr="00F9554F">
        <w:rPr>
          <w:rFonts w:ascii="Arial" w:hAnsi="Arial" w:cs="Arial"/>
          <w:sz w:val="24"/>
          <w:szCs w:val="24"/>
        </w:rPr>
        <w:t xml:space="preserve"> </w:t>
      </w:r>
      <w:r>
        <w:rPr>
          <w:rFonts w:ascii="Arial" w:hAnsi="Arial" w:cs="Arial"/>
          <w:sz w:val="24"/>
          <w:szCs w:val="24"/>
        </w:rPr>
        <w:t xml:space="preserve">sales </w:t>
      </w:r>
      <w:r w:rsidRPr="00F9554F">
        <w:rPr>
          <w:rFonts w:ascii="Arial" w:hAnsi="Arial" w:cs="Arial"/>
          <w:sz w:val="24"/>
          <w:szCs w:val="24"/>
        </w:rPr>
        <w:t xml:space="preserve">grew </w:t>
      </w:r>
      <w:r>
        <w:rPr>
          <w:rFonts w:ascii="Arial" w:hAnsi="Arial" w:cs="Arial"/>
          <w:sz w:val="24"/>
          <w:szCs w:val="24"/>
        </w:rPr>
        <w:t>28.4</w:t>
      </w:r>
      <w:r w:rsidRPr="00F9554F">
        <w:rPr>
          <w:rFonts w:ascii="Arial" w:hAnsi="Arial" w:cs="Arial"/>
          <w:sz w:val="24"/>
          <w:szCs w:val="24"/>
        </w:rPr>
        <w:t>% to £</w:t>
      </w:r>
      <w:r>
        <w:rPr>
          <w:rFonts w:ascii="Arial" w:hAnsi="Arial" w:cs="Arial"/>
          <w:sz w:val="24"/>
          <w:szCs w:val="24"/>
        </w:rPr>
        <w:t>142</w:t>
      </w:r>
      <w:r w:rsidRPr="00F9554F">
        <w:rPr>
          <w:rFonts w:ascii="Arial" w:hAnsi="Arial" w:cs="Arial"/>
          <w:sz w:val="24"/>
          <w:szCs w:val="24"/>
        </w:rPr>
        <w:t xml:space="preserve"> million reflecting new store openings. In </w:t>
      </w:r>
      <w:r w:rsidRPr="00F9554F">
        <w:rPr>
          <w:rFonts w:ascii="Arial" w:hAnsi="Arial" w:cs="Arial"/>
          <w:b/>
          <w:bCs/>
          <w:sz w:val="24"/>
          <w:szCs w:val="24"/>
        </w:rPr>
        <w:t>Turkey</w:t>
      </w:r>
      <w:r w:rsidRPr="00F9554F">
        <w:rPr>
          <w:rFonts w:ascii="Arial" w:hAnsi="Arial" w:cs="Arial"/>
          <w:sz w:val="24"/>
          <w:szCs w:val="24"/>
        </w:rPr>
        <w:t xml:space="preserve">, Kingfisher’s 50% JV, Koçtaş, retail profit grew strongly </w:t>
      </w:r>
      <w:r>
        <w:rPr>
          <w:rFonts w:ascii="Arial" w:hAnsi="Arial" w:cs="Arial"/>
          <w:sz w:val="24"/>
          <w:szCs w:val="24"/>
        </w:rPr>
        <w:t xml:space="preserve">reflecting </w:t>
      </w:r>
      <w:r w:rsidRPr="00F9554F">
        <w:rPr>
          <w:rFonts w:ascii="Arial" w:hAnsi="Arial" w:cs="Arial"/>
          <w:sz w:val="24"/>
          <w:szCs w:val="24"/>
        </w:rPr>
        <w:t>strong sales growth (+7.</w:t>
      </w:r>
      <w:r>
        <w:rPr>
          <w:rFonts w:ascii="Arial" w:hAnsi="Arial" w:cs="Arial"/>
          <w:sz w:val="24"/>
          <w:szCs w:val="24"/>
        </w:rPr>
        <w:t>6</w:t>
      </w:r>
      <w:r w:rsidRPr="00F9554F">
        <w:rPr>
          <w:rFonts w:ascii="Arial" w:hAnsi="Arial" w:cs="Arial"/>
          <w:sz w:val="24"/>
          <w:szCs w:val="24"/>
        </w:rPr>
        <w:t>% LFL), more direct sourcing benefiting gross margins and tight cost control.</w:t>
      </w:r>
    </w:p>
    <w:p w:rsidR="00071D62" w:rsidRPr="00F9554F" w:rsidRDefault="00071D62" w:rsidP="00752D54">
      <w:pPr>
        <w:jc w:val="left"/>
        <w:rPr>
          <w:rFonts w:ascii="Arial" w:hAnsi="Arial" w:cs="Arial"/>
          <w:sz w:val="24"/>
          <w:szCs w:val="24"/>
        </w:rPr>
      </w:pPr>
    </w:p>
    <w:p w:rsidR="00071D62" w:rsidRPr="00F9554F" w:rsidRDefault="00071D62" w:rsidP="00752D54">
      <w:pPr>
        <w:jc w:val="left"/>
        <w:rPr>
          <w:rFonts w:ascii="Arial" w:hAnsi="Arial" w:cs="Arial"/>
          <w:sz w:val="24"/>
          <w:szCs w:val="24"/>
        </w:rPr>
      </w:pPr>
      <w:r w:rsidRPr="00F9554F">
        <w:rPr>
          <w:rFonts w:ascii="Arial" w:hAnsi="Arial" w:cs="Arial"/>
          <w:sz w:val="24"/>
          <w:szCs w:val="24"/>
        </w:rPr>
        <w:t>Elsewhere,</w:t>
      </w:r>
      <w:r w:rsidRPr="00F9554F">
        <w:rPr>
          <w:rFonts w:ascii="Arial" w:hAnsi="Arial" w:cs="Arial"/>
          <w:b/>
          <w:bCs/>
          <w:sz w:val="24"/>
          <w:szCs w:val="24"/>
        </w:rPr>
        <w:t xml:space="preserve"> </w:t>
      </w:r>
      <w:r w:rsidRPr="00F9554F">
        <w:rPr>
          <w:rFonts w:ascii="Arial" w:hAnsi="Arial" w:cs="Arial"/>
          <w:sz w:val="24"/>
          <w:szCs w:val="24"/>
        </w:rPr>
        <w:t xml:space="preserve">in </w:t>
      </w:r>
      <w:r w:rsidRPr="00F9554F">
        <w:rPr>
          <w:rFonts w:ascii="Arial" w:hAnsi="Arial" w:cs="Arial"/>
          <w:b/>
          <w:bCs/>
          <w:sz w:val="24"/>
          <w:szCs w:val="24"/>
        </w:rPr>
        <w:t xml:space="preserve">Spain </w:t>
      </w:r>
      <w:r w:rsidRPr="00F9554F">
        <w:rPr>
          <w:rFonts w:ascii="Arial" w:hAnsi="Arial" w:cs="Arial"/>
          <w:sz w:val="24"/>
          <w:szCs w:val="24"/>
        </w:rPr>
        <w:t>the Brico Dépôt</w:t>
      </w:r>
      <w:r>
        <w:rPr>
          <w:rFonts w:ascii="Arial" w:hAnsi="Arial" w:cs="Arial"/>
          <w:sz w:val="24"/>
          <w:szCs w:val="24"/>
        </w:rPr>
        <w:t xml:space="preserve"> business continued to grow sales and</w:t>
      </w:r>
      <w:r w:rsidRPr="00F9554F">
        <w:rPr>
          <w:rFonts w:ascii="Arial" w:hAnsi="Arial" w:cs="Arial"/>
          <w:sz w:val="24"/>
          <w:szCs w:val="24"/>
        </w:rPr>
        <w:t xml:space="preserve"> profits </w:t>
      </w:r>
      <w:r>
        <w:rPr>
          <w:rFonts w:ascii="Arial" w:hAnsi="Arial" w:cs="Arial"/>
          <w:sz w:val="24"/>
          <w:szCs w:val="24"/>
        </w:rPr>
        <w:t>in a tough market with sa</w:t>
      </w:r>
      <w:r w:rsidRPr="00F9554F">
        <w:rPr>
          <w:rFonts w:ascii="Arial" w:hAnsi="Arial" w:cs="Arial"/>
          <w:sz w:val="24"/>
          <w:szCs w:val="24"/>
        </w:rPr>
        <w:t>les up 1</w:t>
      </w:r>
      <w:r>
        <w:rPr>
          <w:rFonts w:ascii="Arial" w:hAnsi="Arial" w:cs="Arial"/>
          <w:sz w:val="24"/>
          <w:szCs w:val="24"/>
        </w:rPr>
        <w:t>1.4</w:t>
      </w:r>
      <w:r w:rsidRPr="00F9554F">
        <w:rPr>
          <w:rFonts w:ascii="Arial" w:hAnsi="Arial" w:cs="Arial"/>
          <w:sz w:val="24"/>
          <w:szCs w:val="24"/>
        </w:rPr>
        <w:t>%</w:t>
      </w:r>
      <w:r>
        <w:rPr>
          <w:rFonts w:ascii="Arial" w:hAnsi="Arial" w:cs="Arial"/>
          <w:sz w:val="24"/>
          <w:szCs w:val="24"/>
        </w:rPr>
        <w:t xml:space="preserve"> in H1.</w:t>
      </w:r>
      <w:r w:rsidRPr="00F9554F">
        <w:rPr>
          <w:rFonts w:ascii="Arial" w:hAnsi="Arial" w:cs="Arial"/>
          <w:b/>
          <w:bCs/>
          <w:sz w:val="24"/>
          <w:szCs w:val="24"/>
        </w:rPr>
        <w:t xml:space="preserve"> Hornbach</w:t>
      </w:r>
      <w:r w:rsidRPr="00F9554F">
        <w:rPr>
          <w:rFonts w:ascii="Arial" w:hAnsi="Arial" w:cs="Arial"/>
          <w:sz w:val="24"/>
          <w:szCs w:val="24"/>
        </w:rPr>
        <w:t xml:space="preserve">, in which Kingfisher has a 21% economic interest, </w:t>
      </w:r>
      <w:r>
        <w:rPr>
          <w:rFonts w:ascii="Arial" w:hAnsi="Arial" w:cs="Arial"/>
          <w:sz w:val="24"/>
          <w:szCs w:val="24"/>
        </w:rPr>
        <w:t>grew its retail profit contribution by 17.1% to</w:t>
      </w:r>
      <w:r w:rsidRPr="00F9554F">
        <w:rPr>
          <w:rFonts w:ascii="Arial" w:hAnsi="Arial" w:cs="Arial"/>
          <w:sz w:val="24"/>
          <w:szCs w:val="24"/>
        </w:rPr>
        <w:t xml:space="preserve"> £</w:t>
      </w:r>
      <w:r>
        <w:rPr>
          <w:rFonts w:ascii="Arial" w:hAnsi="Arial" w:cs="Arial"/>
          <w:sz w:val="24"/>
          <w:szCs w:val="24"/>
        </w:rPr>
        <w:t>13</w:t>
      </w:r>
      <w:r w:rsidRPr="00F9554F">
        <w:rPr>
          <w:rFonts w:ascii="Arial" w:hAnsi="Arial" w:cs="Arial"/>
          <w:sz w:val="24"/>
          <w:szCs w:val="24"/>
        </w:rPr>
        <w:t xml:space="preserve"> million (20</w:t>
      </w:r>
      <w:r>
        <w:rPr>
          <w:rFonts w:ascii="Arial" w:hAnsi="Arial" w:cs="Arial"/>
          <w:sz w:val="24"/>
          <w:szCs w:val="24"/>
        </w:rPr>
        <w:t>10</w:t>
      </w:r>
      <w:r w:rsidRPr="00F9554F">
        <w:rPr>
          <w:rFonts w:ascii="Arial" w:hAnsi="Arial" w:cs="Arial"/>
          <w:sz w:val="24"/>
          <w:szCs w:val="24"/>
        </w:rPr>
        <w:t>/1</w:t>
      </w:r>
      <w:r>
        <w:rPr>
          <w:rFonts w:ascii="Arial" w:hAnsi="Arial" w:cs="Arial"/>
          <w:sz w:val="24"/>
          <w:szCs w:val="24"/>
        </w:rPr>
        <w:t>1</w:t>
      </w:r>
      <w:r w:rsidRPr="00F9554F">
        <w:rPr>
          <w:rFonts w:ascii="Arial" w:hAnsi="Arial" w:cs="Arial"/>
          <w:sz w:val="24"/>
          <w:szCs w:val="24"/>
        </w:rPr>
        <w:t>: £</w:t>
      </w:r>
      <w:r>
        <w:rPr>
          <w:rFonts w:ascii="Arial" w:hAnsi="Arial" w:cs="Arial"/>
          <w:sz w:val="24"/>
          <w:szCs w:val="24"/>
        </w:rPr>
        <w:t>11</w:t>
      </w:r>
      <w:r w:rsidRPr="00F9554F">
        <w:rPr>
          <w:rFonts w:ascii="Arial" w:hAnsi="Arial" w:cs="Arial"/>
          <w:sz w:val="24"/>
          <w:szCs w:val="24"/>
        </w:rPr>
        <w:t xml:space="preserve"> million).</w:t>
      </w:r>
    </w:p>
    <w:p w:rsidR="00071D62" w:rsidRPr="00F9554F" w:rsidRDefault="00071D62" w:rsidP="00752D54">
      <w:pPr>
        <w:jc w:val="left"/>
        <w:rPr>
          <w:rFonts w:ascii="Arial" w:hAnsi="Arial" w:cs="Arial"/>
          <w:sz w:val="24"/>
          <w:szCs w:val="24"/>
        </w:rPr>
      </w:pPr>
    </w:p>
    <w:p w:rsidR="00071D62" w:rsidRDefault="00071D62" w:rsidP="00781544">
      <w:pPr>
        <w:jc w:val="left"/>
        <w:rPr>
          <w:rFonts w:ascii="Arial" w:hAnsi="Arial" w:cs="Arial"/>
          <w:sz w:val="24"/>
          <w:szCs w:val="24"/>
        </w:rPr>
      </w:pPr>
      <w:r w:rsidRPr="00F9554F">
        <w:rPr>
          <w:rFonts w:ascii="Arial" w:hAnsi="Arial" w:cs="Arial"/>
          <w:b/>
          <w:bCs/>
          <w:sz w:val="24"/>
          <w:szCs w:val="24"/>
        </w:rPr>
        <w:t>B&amp;Q China</w:t>
      </w:r>
      <w:r w:rsidRPr="00F9554F">
        <w:rPr>
          <w:rFonts w:ascii="Arial" w:hAnsi="Arial" w:cs="Arial"/>
          <w:sz w:val="24"/>
          <w:szCs w:val="24"/>
        </w:rPr>
        <w:t xml:space="preserve"> sales declined </w:t>
      </w:r>
      <w:r>
        <w:rPr>
          <w:rFonts w:ascii="Arial" w:hAnsi="Arial" w:cs="Arial"/>
          <w:sz w:val="24"/>
          <w:szCs w:val="24"/>
        </w:rPr>
        <w:t>7.7</w:t>
      </w:r>
      <w:r w:rsidRPr="00F9554F">
        <w:rPr>
          <w:rFonts w:ascii="Arial" w:hAnsi="Arial" w:cs="Arial"/>
          <w:sz w:val="24"/>
          <w:szCs w:val="24"/>
        </w:rPr>
        <w:t>% to £</w:t>
      </w:r>
      <w:r>
        <w:rPr>
          <w:rFonts w:ascii="Arial" w:hAnsi="Arial" w:cs="Arial"/>
          <w:sz w:val="24"/>
          <w:szCs w:val="24"/>
        </w:rPr>
        <w:t>168</w:t>
      </w:r>
      <w:r w:rsidRPr="00F9554F">
        <w:rPr>
          <w:rFonts w:ascii="Arial" w:hAnsi="Arial" w:cs="Arial"/>
          <w:sz w:val="24"/>
          <w:szCs w:val="24"/>
        </w:rPr>
        <w:t xml:space="preserve"> million </w:t>
      </w:r>
      <w:r>
        <w:rPr>
          <w:rFonts w:ascii="Arial" w:hAnsi="Arial" w:cs="Arial"/>
          <w:sz w:val="24"/>
          <w:szCs w:val="24"/>
        </w:rPr>
        <w:t xml:space="preserve">(-5.9% LFL) </w:t>
      </w:r>
      <w:r w:rsidRPr="00F9554F">
        <w:rPr>
          <w:rFonts w:ascii="Arial" w:hAnsi="Arial" w:cs="Arial"/>
          <w:sz w:val="24"/>
          <w:szCs w:val="24"/>
        </w:rPr>
        <w:t xml:space="preserve">reflecting </w:t>
      </w:r>
      <w:r>
        <w:rPr>
          <w:rFonts w:ascii="Arial" w:hAnsi="Arial" w:cs="Arial"/>
          <w:sz w:val="24"/>
          <w:szCs w:val="24"/>
        </w:rPr>
        <w:t xml:space="preserve">one less store compared with the same period last year and a challenging housing market </w:t>
      </w:r>
      <w:r w:rsidRPr="001E35B4">
        <w:rPr>
          <w:rFonts w:ascii="Arial" w:hAnsi="Arial" w:cs="Arial"/>
          <w:sz w:val="24"/>
          <w:szCs w:val="24"/>
        </w:rPr>
        <w:t>(down 14%*).</w:t>
      </w:r>
      <w:r w:rsidRPr="00F9554F">
        <w:rPr>
          <w:rFonts w:ascii="Arial" w:hAnsi="Arial" w:cs="Arial"/>
          <w:sz w:val="24"/>
          <w:szCs w:val="24"/>
        </w:rPr>
        <w:t xml:space="preserve"> The ‘fix-it’ phase of the turnaround plan remains on track with losses </w:t>
      </w:r>
      <w:r>
        <w:rPr>
          <w:rFonts w:ascii="Arial" w:hAnsi="Arial" w:cs="Arial"/>
          <w:sz w:val="24"/>
          <w:szCs w:val="24"/>
        </w:rPr>
        <w:t>reducing as planned to £5 million, more than halved compared to the same period last year</w:t>
      </w:r>
      <w:r w:rsidRPr="00F9554F">
        <w:rPr>
          <w:rFonts w:ascii="Arial" w:hAnsi="Arial" w:cs="Arial"/>
          <w:sz w:val="24"/>
          <w:szCs w:val="24"/>
        </w:rPr>
        <w:t xml:space="preserve"> (20</w:t>
      </w:r>
      <w:r>
        <w:rPr>
          <w:rFonts w:ascii="Arial" w:hAnsi="Arial" w:cs="Arial"/>
          <w:sz w:val="24"/>
          <w:szCs w:val="24"/>
        </w:rPr>
        <w:t>10</w:t>
      </w:r>
      <w:r w:rsidRPr="00F9554F">
        <w:rPr>
          <w:rFonts w:ascii="Arial" w:hAnsi="Arial" w:cs="Arial"/>
          <w:sz w:val="24"/>
          <w:szCs w:val="24"/>
        </w:rPr>
        <w:t>/1</w:t>
      </w:r>
      <w:r>
        <w:rPr>
          <w:rFonts w:ascii="Arial" w:hAnsi="Arial" w:cs="Arial"/>
          <w:sz w:val="24"/>
          <w:szCs w:val="24"/>
        </w:rPr>
        <w:t>1</w:t>
      </w:r>
      <w:r w:rsidRPr="00F9554F">
        <w:rPr>
          <w:rFonts w:ascii="Arial" w:hAnsi="Arial" w:cs="Arial"/>
          <w:sz w:val="24"/>
          <w:szCs w:val="24"/>
        </w:rPr>
        <w:t>: £</w:t>
      </w:r>
      <w:r>
        <w:rPr>
          <w:rFonts w:ascii="Arial" w:hAnsi="Arial" w:cs="Arial"/>
          <w:sz w:val="24"/>
          <w:szCs w:val="24"/>
        </w:rPr>
        <w:t xml:space="preserve">11 </w:t>
      </w:r>
      <w:r w:rsidRPr="00F9554F">
        <w:rPr>
          <w:rFonts w:ascii="Arial" w:hAnsi="Arial" w:cs="Arial"/>
          <w:sz w:val="24"/>
          <w:szCs w:val="24"/>
        </w:rPr>
        <w:t>million</w:t>
      </w:r>
      <w:r>
        <w:rPr>
          <w:rFonts w:ascii="Arial" w:hAnsi="Arial" w:cs="Arial"/>
          <w:sz w:val="24"/>
          <w:szCs w:val="24"/>
        </w:rPr>
        <w:t xml:space="preserve"> loss</w:t>
      </w:r>
      <w:r w:rsidRPr="00F9554F">
        <w:rPr>
          <w:rFonts w:ascii="Arial" w:hAnsi="Arial" w:cs="Arial"/>
          <w:sz w:val="24"/>
          <w:szCs w:val="24"/>
        </w:rPr>
        <w:t>).</w:t>
      </w:r>
    </w:p>
    <w:p w:rsidR="00071D62" w:rsidRDefault="00071D62" w:rsidP="00972688">
      <w:pPr>
        <w:jc w:val="left"/>
        <w:rPr>
          <w:rFonts w:ascii="Arial" w:hAnsi="Arial" w:cs="Arial"/>
          <w:sz w:val="24"/>
          <w:szCs w:val="24"/>
        </w:rPr>
      </w:pPr>
    </w:p>
    <w:p w:rsidR="00071D62" w:rsidRDefault="00071D62" w:rsidP="00972688">
      <w:pPr>
        <w:jc w:val="left"/>
        <w:rPr>
          <w:rFonts w:ascii="Arial" w:hAnsi="Arial" w:cs="Arial"/>
          <w:b/>
          <w:bCs/>
          <w:sz w:val="24"/>
          <w:szCs w:val="24"/>
        </w:rPr>
      </w:pPr>
      <w:r>
        <w:rPr>
          <w:rFonts w:ascii="Arial" w:hAnsi="Arial" w:cs="Arial"/>
          <w:i/>
          <w:iCs/>
          <w:sz w:val="18"/>
          <w:szCs w:val="18"/>
        </w:rPr>
        <w:t xml:space="preserve">* </w:t>
      </w:r>
      <w:r w:rsidRPr="001E35B4">
        <w:rPr>
          <w:rFonts w:ascii="Arial" w:hAnsi="Arial" w:cs="Arial"/>
          <w:i/>
          <w:iCs/>
          <w:sz w:val="18"/>
          <w:szCs w:val="18"/>
        </w:rPr>
        <w:t>New property transa</w:t>
      </w:r>
      <w:r>
        <w:rPr>
          <w:rFonts w:ascii="Arial" w:hAnsi="Arial" w:cs="Arial"/>
          <w:i/>
          <w:iCs/>
          <w:sz w:val="18"/>
          <w:szCs w:val="18"/>
        </w:rPr>
        <w:t xml:space="preserve">ction sales for China’s </w:t>
      </w:r>
      <w:r w:rsidRPr="001E35B4">
        <w:rPr>
          <w:rFonts w:ascii="Arial" w:hAnsi="Arial" w:cs="Arial"/>
          <w:i/>
          <w:iCs/>
          <w:sz w:val="18"/>
          <w:szCs w:val="18"/>
        </w:rPr>
        <w:t xml:space="preserve">13 </w:t>
      </w:r>
      <w:r>
        <w:rPr>
          <w:rFonts w:ascii="Arial" w:hAnsi="Arial" w:cs="Arial"/>
          <w:i/>
          <w:iCs/>
          <w:sz w:val="18"/>
          <w:szCs w:val="18"/>
        </w:rPr>
        <w:t xml:space="preserve">largest cities </w:t>
      </w:r>
      <w:r w:rsidRPr="001E35B4">
        <w:rPr>
          <w:rFonts w:ascii="Arial" w:hAnsi="Arial" w:cs="Arial"/>
          <w:i/>
          <w:iCs/>
          <w:sz w:val="18"/>
          <w:szCs w:val="18"/>
        </w:rPr>
        <w:t>Aug</w:t>
      </w:r>
      <w:r>
        <w:rPr>
          <w:rFonts w:ascii="Arial" w:hAnsi="Arial" w:cs="Arial"/>
          <w:i/>
          <w:iCs/>
          <w:sz w:val="18"/>
          <w:szCs w:val="18"/>
        </w:rPr>
        <w:t>ust 2010</w:t>
      </w:r>
      <w:r w:rsidRPr="001E35B4">
        <w:rPr>
          <w:rFonts w:ascii="Arial" w:hAnsi="Arial" w:cs="Arial"/>
          <w:i/>
          <w:iCs/>
          <w:sz w:val="18"/>
          <w:szCs w:val="18"/>
        </w:rPr>
        <w:t>-July 2011</w:t>
      </w:r>
      <w:r>
        <w:rPr>
          <w:rFonts w:ascii="Arial" w:hAnsi="Arial" w:cs="Arial"/>
          <w:i/>
          <w:iCs/>
          <w:sz w:val="18"/>
          <w:szCs w:val="18"/>
        </w:rPr>
        <w:t xml:space="preserve"> according to the </w:t>
      </w:r>
      <w:r w:rsidRPr="001E35B4">
        <w:rPr>
          <w:rFonts w:ascii="Arial" w:hAnsi="Arial" w:cs="Arial"/>
          <w:i/>
          <w:iCs/>
          <w:sz w:val="18"/>
          <w:szCs w:val="18"/>
        </w:rPr>
        <w:t>China Real Estate Exchange Center</w:t>
      </w:r>
      <w:r>
        <w:rPr>
          <w:rFonts w:ascii="Verdana" w:hAnsi="Verdana" w:cs="Verdana"/>
          <w:color w:val="0000FF"/>
          <w:sz w:val="18"/>
          <w:szCs w:val="18"/>
          <w:lang w:val="en-US" w:eastAsia="zh-CN"/>
        </w:rPr>
        <w:t xml:space="preserve"> </w:t>
      </w:r>
      <w:r w:rsidRPr="00791B66">
        <w:rPr>
          <w:rFonts w:ascii="Arial" w:hAnsi="Arial" w:cs="Arial"/>
          <w:sz w:val="24"/>
          <w:szCs w:val="24"/>
        </w:rPr>
        <w:br w:type="page"/>
      </w:r>
      <w:r w:rsidRPr="001179F4">
        <w:rPr>
          <w:rFonts w:ascii="Arial" w:hAnsi="Arial" w:cs="Arial"/>
          <w:b/>
          <w:bCs/>
          <w:sz w:val="24"/>
          <w:szCs w:val="24"/>
        </w:rPr>
        <w:lastRenderedPageBreak/>
        <w:t>‘</w:t>
      </w:r>
      <w:r>
        <w:rPr>
          <w:rFonts w:ascii="Arial" w:hAnsi="Arial" w:cs="Arial"/>
          <w:b/>
          <w:bCs/>
          <w:sz w:val="24"/>
          <w:szCs w:val="24"/>
        </w:rPr>
        <w:t>Delivering Value’ progress</w:t>
      </w:r>
    </w:p>
    <w:p w:rsidR="00071D62" w:rsidRDefault="00071D62" w:rsidP="00972688">
      <w:pPr>
        <w:jc w:val="left"/>
        <w:rPr>
          <w:rFonts w:ascii="Arial" w:hAnsi="Arial" w:cs="Arial"/>
          <w:b/>
          <w:bCs/>
          <w:sz w:val="24"/>
          <w:szCs w:val="24"/>
        </w:rPr>
      </w:pPr>
    </w:p>
    <w:p w:rsidR="00071D62" w:rsidRPr="00407B52" w:rsidRDefault="00071D62" w:rsidP="00972688">
      <w:pPr>
        <w:jc w:val="left"/>
        <w:rPr>
          <w:rFonts w:ascii="Helvetica" w:hAnsi="Helvetica" w:cs="Helvetica"/>
          <w:sz w:val="24"/>
          <w:szCs w:val="24"/>
        </w:rPr>
      </w:pPr>
      <w:r w:rsidRPr="00407B52">
        <w:rPr>
          <w:rFonts w:ascii="Helvetica" w:hAnsi="Helvetica" w:cs="Helvetica"/>
          <w:b/>
          <w:bCs/>
          <w:sz w:val="24"/>
          <w:szCs w:val="24"/>
        </w:rPr>
        <w:t>P</w:t>
      </w:r>
      <w:r>
        <w:rPr>
          <w:rFonts w:ascii="Helvetica" w:hAnsi="Helvetica" w:cs="Helvetica"/>
          <w:b/>
          <w:bCs/>
          <w:sz w:val="24"/>
          <w:szCs w:val="24"/>
        </w:rPr>
        <w:t>rogress to date (Feb 2011 to July 2011) and milestones for the remainder of the year</w:t>
      </w:r>
    </w:p>
    <w:p w:rsidR="00071D62" w:rsidRPr="00A63FD2" w:rsidRDefault="00071D62" w:rsidP="00972688">
      <w:pPr>
        <w:jc w:val="left"/>
        <w:rPr>
          <w:rFonts w:ascii="Arial" w:hAnsi="Arial" w:cs="Arial"/>
          <w:sz w:val="24"/>
          <w:szCs w:val="24"/>
        </w:rPr>
      </w:pPr>
    </w:p>
    <w:p w:rsidR="00071D62" w:rsidRPr="00CF465E" w:rsidRDefault="00071D62" w:rsidP="00972688">
      <w:pPr>
        <w:numPr>
          <w:ilvl w:val="0"/>
          <w:numId w:val="15"/>
        </w:numPr>
        <w:jc w:val="left"/>
        <w:rPr>
          <w:rFonts w:ascii="Arial" w:hAnsi="Arial" w:cs="Arial"/>
          <w:b/>
          <w:bCs/>
          <w:sz w:val="24"/>
          <w:szCs w:val="24"/>
        </w:rPr>
      </w:pPr>
      <w:r w:rsidRPr="00CF465E">
        <w:rPr>
          <w:rFonts w:ascii="Arial" w:hAnsi="Arial" w:cs="Arial"/>
          <w:b/>
          <w:bCs/>
          <w:sz w:val="24"/>
          <w:szCs w:val="24"/>
        </w:rPr>
        <w:t>Driving up B&amp;Q UK &amp; Ireland’s profit</w:t>
      </w:r>
    </w:p>
    <w:p w:rsidR="00071D62" w:rsidRDefault="00071D62" w:rsidP="00972688">
      <w:pPr>
        <w:jc w:val="left"/>
        <w:rPr>
          <w:rFonts w:ascii="Arial" w:hAnsi="Arial" w:cs="Arial"/>
          <w:sz w:val="24"/>
          <w:szCs w:val="24"/>
        </w:rPr>
      </w:pPr>
    </w:p>
    <w:p w:rsidR="00071D62" w:rsidRPr="005C4CBD" w:rsidRDefault="00071D62" w:rsidP="00972688">
      <w:pPr>
        <w:ind w:left="720"/>
        <w:jc w:val="left"/>
        <w:rPr>
          <w:rFonts w:ascii="Arial" w:hAnsi="Arial" w:cs="Arial"/>
          <w:b/>
          <w:bCs/>
          <w:sz w:val="24"/>
          <w:szCs w:val="24"/>
        </w:rPr>
      </w:pPr>
      <w:r w:rsidRPr="00E67841">
        <w:rPr>
          <w:rFonts w:ascii="Arial" w:hAnsi="Arial" w:cs="Arial"/>
          <w:b/>
          <w:bCs/>
          <w:i/>
          <w:iCs/>
          <w:sz w:val="24"/>
          <w:szCs w:val="24"/>
        </w:rPr>
        <w:t>Self-help measures to rebuild B&amp;Q’s retail margin continued to deliver results. B</w:t>
      </w:r>
      <w:r>
        <w:rPr>
          <w:rFonts w:ascii="Arial" w:hAnsi="Arial" w:cs="Arial"/>
          <w:b/>
          <w:bCs/>
          <w:i/>
          <w:iCs/>
          <w:sz w:val="24"/>
          <w:szCs w:val="24"/>
        </w:rPr>
        <w:t>&amp;Q remains</w:t>
      </w:r>
      <w:r w:rsidRPr="0054503F">
        <w:rPr>
          <w:rFonts w:ascii="Arial" w:hAnsi="Arial" w:cs="Arial"/>
          <w:b/>
          <w:bCs/>
          <w:i/>
          <w:iCs/>
          <w:sz w:val="24"/>
          <w:szCs w:val="24"/>
        </w:rPr>
        <w:t xml:space="preserve"> on track to achieve a sustainable 7% operating margin</w:t>
      </w:r>
      <w:r w:rsidRPr="00F40A86">
        <w:rPr>
          <w:rFonts w:ascii="Arial" w:hAnsi="Arial" w:cs="Arial"/>
          <w:sz w:val="24"/>
          <w:szCs w:val="24"/>
        </w:rPr>
        <w:t>.</w:t>
      </w:r>
    </w:p>
    <w:p w:rsidR="00071D62" w:rsidRDefault="00071D62" w:rsidP="00972688">
      <w:pPr>
        <w:ind w:left="720"/>
        <w:jc w:val="left"/>
        <w:rPr>
          <w:rFonts w:ascii="Arial" w:hAnsi="Arial" w:cs="Arial"/>
          <w:b/>
          <w:bCs/>
          <w:sz w:val="24"/>
          <w:szCs w:val="24"/>
        </w:rPr>
      </w:pPr>
    </w:p>
    <w:p w:rsidR="00071D62" w:rsidRDefault="00071D62" w:rsidP="00972688">
      <w:pPr>
        <w:ind w:left="720"/>
        <w:jc w:val="left"/>
        <w:rPr>
          <w:rFonts w:ascii="Arial" w:hAnsi="Arial" w:cs="Arial"/>
          <w:b/>
          <w:bCs/>
          <w:sz w:val="24"/>
          <w:szCs w:val="24"/>
        </w:rPr>
      </w:pPr>
      <w:r>
        <w:rPr>
          <w:rFonts w:ascii="Arial" w:hAnsi="Arial" w:cs="Arial"/>
          <w:b/>
          <w:bCs/>
          <w:sz w:val="24"/>
          <w:szCs w:val="24"/>
        </w:rPr>
        <w:t>2011/12 first half progress</w:t>
      </w:r>
    </w:p>
    <w:p w:rsidR="00071D62" w:rsidRPr="00A63FD2" w:rsidRDefault="00071D62" w:rsidP="00972688">
      <w:pPr>
        <w:jc w:val="left"/>
        <w:rPr>
          <w:rFonts w:ascii="Arial" w:hAnsi="Arial" w:cs="Arial"/>
          <w:sz w:val="24"/>
          <w:szCs w:val="24"/>
        </w:rPr>
      </w:pPr>
    </w:p>
    <w:p w:rsidR="00071D62" w:rsidRPr="00A63FD2" w:rsidRDefault="00071D62" w:rsidP="00972688">
      <w:pPr>
        <w:numPr>
          <w:ilvl w:val="0"/>
          <w:numId w:val="4"/>
        </w:numPr>
        <w:jc w:val="left"/>
        <w:rPr>
          <w:rFonts w:ascii="Arial" w:hAnsi="Arial" w:cs="Arial"/>
          <w:sz w:val="24"/>
          <w:szCs w:val="24"/>
        </w:rPr>
      </w:pPr>
      <w:r w:rsidRPr="00A63FD2">
        <w:rPr>
          <w:rFonts w:ascii="Arial" w:hAnsi="Arial" w:cs="Arial"/>
          <w:sz w:val="24"/>
          <w:szCs w:val="24"/>
        </w:rPr>
        <w:t>Stores</w:t>
      </w:r>
    </w:p>
    <w:p w:rsidR="00071D62" w:rsidRDefault="00071D62" w:rsidP="00972688">
      <w:pPr>
        <w:numPr>
          <w:ilvl w:val="1"/>
          <w:numId w:val="2"/>
        </w:numPr>
        <w:jc w:val="left"/>
        <w:rPr>
          <w:rFonts w:ascii="Arial" w:hAnsi="Arial" w:cs="Arial"/>
          <w:sz w:val="24"/>
          <w:szCs w:val="24"/>
        </w:rPr>
      </w:pPr>
      <w:r>
        <w:rPr>
          <w:rFonts w:ascii="Arial" w:hAnsi="Arial" w:cs="Arial"/>
          <w:sz w:val="24"/>
          <w:szCs w:val="24"/>
        </w:rPr>
        <w:t>Revamped 4 large stores</w:t>
      </w:r>
    </w:p>
    <w:p w:rsidR="00071D62" w:rsidRDefault="00071D62" w:rsidP="00972688">
      <w:pPr>
        <w:numPr>
          <w:ilvl w:val="1"/>
          <w:numId w:val="2"/>
        </w:numPr>
        <w:jc w:val="left"/>
        <w:rPr>
          <w:rFonts w:ascii="Arial" w:hAnsi="Arial" w:cs="Arial"/>
          <w:sz w:val="24"/>
          <w:szCs w:val="24"/>
        </w:rPr>
      </w:pPr>
      <w:r>
        <w:rPr>
          <w:rFonts w:ascii="Arial" w:hAnsi="Arial" w:cs="Arial"/>
          <w:sz w:val="24"/>
          <w:szCs w:val="24"/>
        </w:rPr>
        <w:t xml:space="preserve">1 ‘showroom only’ revamp (kitchen, bathroom and bedroom areas) </w:t>
      </w:r>
    </w:p>
    <w:p w:rsidR="00071D62" w:rsidRDefault="00071D62" w:rsidP="00972688">
      <w:pPr>
        <w:numPr>
          <w:ilvl w:val="1"/>
          <w:numId w:val="2"/>
        </w:numPr>
        <w:jc w:val="left"/>
        <w:rPr>
          <w:rFonts w:ascii="Arial" w:hAnsi="Arial" w:cs="Arial"/>
          <w:sz w:val="24"/>
          <w:szCs w:val="24"/>
        </w:rPr>
      </w:pPr>
      <w:r>
        <w:rPr>
          <w:rFonts w:ascii="Arial" w:hAnsi="Arial" w:cs="Arial"/>
          <w:sz w:val="24"/>
          <w:szCs w:val="24"/>
        </w:rPr>
        <w:t>Acquired and processed regulatory approval on 29 leasehold stores from the administrator of Focus DIY</w:t>
      </w:r>
    </w:p>
    <w:p w:rsidR="00071D62" w:rsidRPr="00A63FD2" w:rsidRDefault="00071D62" w:rsidP="00972688">
      <w:pPr>
        <w:ind w:left="1440"/>
        <w:jc w:val="left"/>
        <w:rPr>
          <w:rFonts w:ascii="Arial" w:hAnsi="Arial" w:cs="Arial"/>
          <w:sz w:val="24"/>
          <w:szCs w:val="24"/>
        </w:rPr>
      </w:pPr>
    </w:p>
    <w:p w:rsidR="00071D62" w:rsidRDefault="00071D62" w:rsidP="00972688">
      <w:pPr>
        <w:numPr>
          <w:ilvl w:val="0"/>
          <w:numId w:val="4"/>
        </w:numPr>
        <w:jc w:val="left"/>
        <w:rPr>
          <w:rFonts w:ascii="Arial" w:hAnsi="Arial" w:cs="Arial"/>
          <w:sz w:val="24"/>
          <w:szCs w:val="24"/>
        </w:rPr>
      </w:pPr>
      <w:r w:rsidRPr="00A63FD2">
        <w:rPr>
          <w:rFonts w:ascii="Arial" w:hAnsi="Arial" w:cs="Arial"/>
          <w:sz w:val="24"/>
          <w:szCs w:val="24"/>
        </w:rPr>
        <w:t xml:space="preserve">Product </w:t>
      </w:r>
      <w:r>
        <w:rPr>
          <w:rFonts w:ascii="Arial" w:hAnsi="Arial" w:cs="Arial"/>
          <w:sz w:val="24"/>
          <w:szCs w:val="24"/>
        </w:rPr>
        <w:t>and</w:t>
      </w:r>
      <w:r w:rsidRPr="00A63FD2">
        <w:rPr>
          <w:rFonts w:ascii="Arial" w:hAnsi="Arial" w:cs="Arial"/>
          <w:sz w:val="24"/>
          <w:szCs w:val="24"/>
        </w:rPr>
        <w:t xml:space="preserve"> Service</w:t>
      </w:r>
    </w:p>
    <w:p w:rsidR="00071D62" w:rsidRDefault="00071D62" w:rsidP="00972688">
      <w:pPr>
        <w:numPr>
          <w:ilvl w:val="1"/>
          <w:numId w:val="2"/>
        </w:numPr>
        <w:jc w:val="left"/>
        <w:rPr>
          <w:rFonts w:ascii="Arial" w:hAnsi="Arial" w:cs="Arial"/>
          <w:sz w:val="24"/>
          <w:szCs w:val="24"/>
        </w:rPr>
      </w:pPr>
      <w:r>
        <w:rPr>
          <w:rFonts w:ascii="Arial" w:hAnsi="Arial" w:cs="Arial"/>
          <w:sz w:val="24"/>
          <w:szCs w:val="24"/>
        </w:rPr>
        <w:t>Rolled out a new storage range nationally</w:t>
      </w:r>
    </w:p>
    <w:p w:rsidR="00071D62" w:rsidRPr="006D5386" w:rsidRDefault="00071D62" w:rsidP="00972688">
      <w:pPr>
        <w:numPr>
          <w:ilvl w:val="1"/>
          <w:numId w:val="2"/>
        </w:numPr>
        <w:jc w:val="left"/>
        <w:rPr>
          <w:rFonts w:ascii="Arial" w:hAnsi="Arial" w:cs="Arial"/>
          <w:sz w:val="24"/>
          <w:szCs w:val="24"/>
        </w:rPr>
      </w:pPr>
      <w:r>
        <w:rPr>
          <w:rFonts w:ascii="Arial" w:hAnsi="Arial" w:cs="Arial"/>
          <w:sz w:val="24"/>
          <w:szCs w:val="24"/>
        </w:rPr>
        <w:t xml:space="preserve">Established </w:t>
      </w:r>
      <w:r w:rsidRPr="006D5386">
        <w:rPr>
          <w:rFonts w:ascii="Arial" w:hAnsi="Arial" w:cs="Arial"/>
          <w:sz w:val="24"/>
          <w:szCs w:val="24"/>
        </w:rPr>
        <w:t xml:space="preserve">‘You can do it’ DIY centres in </w:t>
      </w:r>
      <w:r>
        <w:rPr>
          <w:rFonts w:ascii="Arial" w:hAnsi="Arial" w:cs="Arial"/>
          <w:sz w:val="24"/>
          <w:szCs w:val="24"/>
        </w:rPr>
        <w:t xml:space="preserve">15 </w:t>
      </w:r>
      <w:r w:rsidRPr="006D5386">
        <w:rPr>
          <w:rFonts w:ascii="Arial" w:hAnsi="Arial" w:cs="Arial"/>
          <w:sz w:val="24"/>
          <w:szCs w:val="24"/>
        </w:rPr>
        <w:t>large stores</w:t>
      </w:r>
      <w:r>
        <w:rPr>
          <w:rFonts w:ascii="Arial" w:hAnsi="Arial" w:cs="Arial"/>
          <w:sz w:val="24"/>
          <w:szCs w:val="24"/>
        </w:rPr>
        <w:t>, delivering classes to 10,000 customers</w:t>
      </w:r>
    </w:p>
    <w:p w:rsidR="00071D62" w:rsidRDefault="00071D62" w:rsidP="00972688">
      <w:pPr>
        <w:numPr>
          <w:ilvl w:val="1"/>
          <w:numId w:val="2"/>
        </w:numPr>
        <w:jc w:val="left"/>
        <w:rPr>
          <w:rFonts w:ascii="Arial" w:hAnsi="Arial" w:cs="Arial"/>
          <w:sz w:val="24"/>
          <w:szCs w:val="24"/>
        </w:rPr>
      </w:pPr>
      <w:r w:rsidRPr="00680882">
        <w:rPr>
          <w:rFonts w:ascii="Arial" w:hAnsi="Arial" w:cs="Arial"/>
          <w:sz w:val="24"/>
          <w:szCs w:val="24"/>
        </w:rPr>
        <w:t>Create</w:t>
      </w:r>
      <w:r>
        <w:rPr>
          <w:rFonts w:ascii="Arial" w:hAnsi="Arial" w:cs="Arial"/>
          <w:sz w:val="24"/>
          <w:szCs w:val="24"/>
        </w:rPr>
        <w:t>d around 16</w:t>
      </w:r>
      <w:r w:rsidRPr="00680882">
        <w:rPr>
          <w:rFonts w:ascii="Arial" w:hAnsi="Arial" w:cs="Arial"/>
          <w:sz w:val="24"/>
          <w:szCs w:val="24"/>
        </w:rPr>
        <w:t xml:space="preserve"> </w:t>
      </w:r>
      <w:r>
        <w:rPr>
          <w:rFonts w:ascii="Arial" w:hAnsi="Arial" w:cs="Arial"/>
          <w:sz w:val="24"/>
          <w:szCs w:val="24"/>
        </w:rPr>
        <w:t xml:space="preserve">new </w:t>
      </w:r>
      <w:r w:rsidRPr="00680882">
        <w:rPr>
          <w:rFonts w:ascii="Arial" w:hAnsi="Arial" w:cs="Arial"/>
          <w:sz w:val="24"/>
          <w:szCs w:val="24"/>
        </w:rPr>
        <w:t>‘how to’ videos available in-stor</w:t>
      </w:r>
      <w:r>
        <w:rPr>
          <w:rFonts w:ascii="Arial" w:hAnsi="Arial" w:cs="Arial"/>
          <w:sz w:val="24"/>
          <w:szCs w:val="24"/>
        </w:rPr>
        <w:t xml:space="preserve">e, </w:t>
      </w:r>
      <w:r w:rsidRPr="00680882">
        <w:rPr>
          <w:rFonts w:ascii="Arial" w:hAnsi="Arial" w:cs="Arial"/>
          <w:sz w:val="24"/>
          <w:szCs w:val="24"/>
        </w:rPr>
        <w:t>on diy.com</w:t>
      </w:r>
      <w:r>
        <w:rPr>
          <w:rFonts w:ascii="Arial" w:hAnsi="Arial" w:cs="Arial"/>
          <w:sz w:val="24"/>
          <w:szCs w:val="24"/>
        </w:rPr>
        <w:t xml:space="preserve"> and Youtube.com, taking the total to 50</w:t>
      </w:r>
    </w:p>
    <w:p w:rsidR="00071D62" w:rsidRDefault="00071D62" w:rsidP="00972688">
      <w:pPr>
        <w:numPr>
          <w:ilvl w:val="1"/>
          <w:numId w:val="2"/>
        </w:numPr>
        <w:jc w:val="left"/>
        <w:rPr>
          <w:rFonts w:ascii="Arial" w:hAnsi="Arial" w:cs="Arial"/>
          <w:sz w:val="24"/>
          <w:szCs w:val="24"/>
        </w:rPr>
      </w:pPr>
      <w:r>
        <w:rPr>
          <w:rFonts w:ascii="Arial" w:hAnsi="Arial" w:cs="Arial"/>
          <w:sz w:val="24"/>
          <w:szCs w:val="24"/>
        </w:rPr>
        <w:t>Introduced a national van hire service (in partnership with Hertz) to make it easier for customers to take away large purchases themselves</w:t>
      </w:r>
    </w:p>
    <w:p w:rsidR="00071D62" w:rsidRPr="002356B1" w:rsidRDefault="00071D62" w:rsidP="00972688">
      <w:pPr>
        <w:jc w:val="left"/>
        <w:rPr>
          <w:rFonts w:ascii="Arial" w:hAnsi="Arial" w:cs="Arial"/>
          <w:sz w:val="24"/>
          <w:szCs w:val="24"/>
          <w:highlight w:val="yellow"/>
        </w:rPr>
      </w:pPr>
    </w:p>
    <w:p w:rsidR="00071D62" w:rsidRPr="00A63FD2" w:rsidRDefault="00071D62" w:rsidP="00972688">
      <w:pPr>
        <w:numPr>
          <w:ilvl w:val="0"/>
          <w:numId w:val="4"/>
        </w:numPr>
        <w:jc w:val="left"/>
        <w:rPr>
          <w:rFonts w:ascii="Arial" w:hAnsi="Arial" w:cs="Arial"/>
          <w:sz w:val="24"/>
          <w:szCs w:val="24"/>
        </w:rPr>
      </w:pPr>
      <w:r w:rsidRPr="00A63FD2">
        <w:rPr>
          <w:rFonts w:ascii="Arial" w:hAnsi="Arial" w:cs="Arial"/>
          <w:sz w:val="24"/>
          <w:szCs w:val="24"/>
        </w:rPr>
        <w:t>Margin and Costs</w:t>
      </w:r>
    </w:p>
    <w:p w:rsidR="00071D62" w:rsidRDefault="00071D62" w:rsidP="00972688">
      <w:pPr>
        <w:numPr>
          <w:ilvl w:val="1"/>
          <w:numId w:val="2"/>
        </w:numPr>
        <w:jc w:val="left"/>
        <w:rPr>
          <w:rFonts w:ascii="Arial" w:hAnsi="Arial" w:cs="Arial"/>
          <w:sz w:val="24"/>
          <w:szCs w:val="24"/>
        </w:rPr>
      </w:pPr>
      <w:r>
        <w:rPr>
          <w:rFonts w:ascii="Arial" w:hAnsi="Arial" w:cs="Arial"/>
          <w:sz w:val="24"/>
          <w:szCs w:val="24"/>
        </w:rPr>
        <w:t>Direct sourced shipments continued to provide gross margin benefit</w:t>
      </w:r>
    </w:p>
    <w:p w:rsidR="00071D62" w:rsidRDefault="00071D62" w:rsidP="00972688">
      <w:pPr>
        <w:numPr>
          <w:ilvl w:val="1"/>
          <w:numId w:val="2"/>
        </w:numPr>
        <w:jc w:val="left"/>
        <w:rPr>
          <w:rFonts w:ascii="Arial" w:hAnsi="Arial" w:cs="Arial"/>
          <w:sz w:val="24"/>
          <w:szCs w:val="24"/>
        </w:rPr>
      </w:pPr>
      <w:r>
        <w:rPr>
          <w:rFonts w:ascii="Arial" w:hAnsi="Arial" w:cs="Arial"/>
          <w:sz w:val="24"/>
          <w:szCs w:val="24"/>
        </w:rPr>
        <w:t>Costs as a percentage of sales held flat reflecting tight controls</w:t>
      </w:r>
    </w:p>
    <w:p w:rsidR="00071D62" w:rsidRDefault="00071D62" w:rsidP="00972688">
      <w:pPr>
        <w:ind w:left="1440"/>
        <w:jc w:val="left"/>
        <w:rPr>
          <w:rFonts w:ascii="Arial" w:hAnsi="Arial" w:cs="Arial"/>
          <w:sz w:val="24"/>
          <w:szCs w:val="24"/>
        </w:rPr>
      </w:pPr>
    </w:p>
    <w:p w:rsidR="00071D62" w:rsidRPr="00C20122" w:rsidRDefault="00071D62" w:rsidP="00972688">
      <w:pPr>
        <w:ind w:firstLine="720"/>
        <w:jc w:val="left"/>
        <w:rPr>
          <w:rFonts w:ascii="Arial" w:hAnsi="Arial" w:cs="Arial"/>
          <w:b/>
          <w:bCs/>
          <w:sz w:val="24"/>
          <w:szCs w:val="24"/>
        </w:rPr>
      </w:pPr>
      <w:r>
        <w:rPr>
          <w:rFonts w:ascii="Arial" w:hAnsi="Arial" w:cs="Arial"/>
          <w:b/>
          <w:bCs/>
          <w:sz w:val="24"/>
          <w:szCs w:val="24"/>
        </w:rPr>
        <w:t>2011/12</w:t>
      </w:r>
      <w:r w:rsidRPr="00C20122">
        <w:rPr>
          <w:rFonts w:ascii="Arial" w:hAnsi="Arial" w:cs="Arial"/>
          <w:b/>
          <w:bCs/>
          <w:sz w:val="24"/>
          <w:szCs w:val="24"/>
        </w:rPr>
        <w:t xml:space="preserve"> </w:t>
      </w:r>
      <w:r>
        <w:rPr>
          <w:rFonts w:ascii="Arial" w:hAnsi="Arial" w:cs="Arial"/>
          <w:b/>
          <w:bCs/>
          <w:sz w:val="24"/>
          <w:szCs w:val="24"/>
        </w:rPr>
        <w:t xml:space="preserve">second half </w:t>
      </w:r>
      <w:r w:rsidRPr="00C20122">
        <w:rPr>
          <w:rFonts w:ascii="Arial" w:hAnsi="Arial" w:cs="Arial"/>
          <w:b/>
          <w:bCs/>
          <w:sz w:val="24"/>
          <w:szCs w:val="24"/>
        </w:rPr>
        <w:t>milestones</w:t>
      </w:r>
    </w:p>
    <w:p w:rsidR="00071D62" w:rsidRPr="00A63FD2" w:rsidRDefault="00071D62" w:rsidP="00972688">
      <w:pPr>
        <w:jc w:val="left"/>
        <w:rPr>
          <w:rFonts w:ascii="Arial" w:hAnsi="Arial" w:cs="Arial"/>
          <w:sz w:val="24"/>
          <w:szCs w:val="24"/>
        </w:rPr>
      </w:pPr>
    </w:p>
    <w:p w:rsidR="00071D62" w:rsidRPr="00A63FD2" w:rsidRDefault="00071D62" w:rsidP="00972688">
      <w:pPr>
        <w:numPr>
          <w:ilvl w:val="0"/>
          <w:numId w:val="4"/>
        </w:numPr>
        <w:jc w:val="left"/>
        <w:rPr>
          <w:rFonts w:ascii="Arial" w:hAnsi="Arial" w:cs="Arial"/>
          <w:sz w:val="24"/>
          <w:szCs w:val="24"/>
        </w:rPr>
      </w:pPr>
      <w:r w:rsidRPr="00A63FD2">
        <w:rPr>
          <w:rFonts w:ascii="Arial" w:hAnsi="Arial" w:cs="Arial"/>
          <w:sz w:val="24"/>
          <w:szCs w:val="24"/>
        </w:rPr>
        <w:t>Stores</w:t>
      </w:r>
    </w:p>
    <w:p w:rsidR="00071D62" w:rsidRDefault="00071D62" w:rsidP="00972688">
      <w:pPr>
        <w:numPr>
          <w:ilvl w:val="1"/>
          <w:numId w:val="2"/>
        </w:numPr>
        <w:jc w:val="left"/>
        <w:rPr>
          <w:rFonts w:ascii="Arial" w:hAnsi="Arial" w:cs="Arial"/>
          <w:sz w:val="24"/>
          <w:szCs w:val="24"/>
        </w:rPr>
      </w:pPr>
      <w:r>
        <w:rPr>
          <w:rFonts w:ascii="Arial" w:hAnsi="Arial" w:cs="Arial"/>
          <w:sz w:val="24"/>
          <w:szCs w:val="24"/>
        </w:rPr>
        <w:t xml:space="preserve">Revamp 2 large stores </w:t>
      </w:r>
      <w:r w:rsidRPr="001E35B4">
        <w:rPr>
          <w:rFonts w:ascii="Arial" w:hAnsi="Arial" w:cs="Arial"/>
          <w:sz w:val="24"/>
          <w:szCs w:val="24"/>
        </w:rPr>
        <w:t>and</w:t>
      </w:r>
      <w:r>
        <w:rPr>
          <w:rFonts w:ascii="Arial" w:hAnsi="Arial" w:cs="Arial"/>
          <w:sz w:val="24"/>
          <w:szCs w:val="24"/>
        </w:rPr>
        <w:t xml:space="preserve"> </w:t>
      </w:r>
      <w:r w:rsidRPr="001E35B4">
        <w:rPr>
          <w:rFonts w:ascii="Arial" w:hAnsi="Arial" w:cs="Arial"/>
          <w:sz w:val="24"/>
          <w:szCs w:val="24"/>
        </w:rPr>
        <w:t>relocate one medium store</w:t>
      </w:r>
      <w:r>
        <w:rPr>
          <w:rFonts w:ascii="Helvetica" w:hAnsi="Helvetica" w:cs="Helvetica"/>
          <w:i/>
          <w:iCs/>
          <w:sz w:val="24"/>
          <w:szCs w:val="24"/>
          <w:vertAlign w:val="superscript"/>
        </w:rPr>
        <w:t xml:space="preserve"> (1)  </w:t>
      </w:r>
    </w:p>
    <w:p w:rsidR="00071D62" w:rsidRDefault="00071D62" w:rsidP="00972688">
      <w:pPr>
        <w:numPr>
          <w:ilvl w:val="1"/>
          <w:numId w:val="2"/>
        </w:numPr>
        <w:jc w:val="left"/>
        <w:rPr>
          <w:rFonts w:ascii="Arial" w:hAnsi="Arial" w:cs="Arial"/>
          <w:sz w:val="24"/>
          <w:szCs w:val="24"/>
        </w:rPr>
      </w:pPr>
      <w:r>
        <w:rPr>
          <w:rFonts w:ascii="Arial" w:hAnsi="Arial" w:cs="Arial"/>
          <w:sz w:val="24"/>
          <w:szCs w:val="24"/>
        </w:rPr>
        <w:t xml:space="preserve">2 ‘showroom only’ revamps (kitchen, bathroom and bedroom areas) </w:t>
      </w:r>
      <w:r>
        <w:rPr>
          <w:rFonts w:ascii="Helvetica" w:hAnsi="Helvetica" w:cs="Helvetica"/>
          <w:i/>
          <w:iCs/>
          <w:sz w:val="24"/>
          <w:szCs w:val="24"/>
          <w:vertAlign w:val="superscript"/>
        </w:rPr>
        <w:t>(1)</w:t>
      </w:r>
    </w:p>
    <w:p w:rsidR="00071D62" w:rsidRDefault="00071D62" w:rsidP="00972688">
      <w:pPr>
        <w:numPr>
          <w:ilvl w:val="1"/>
          <w:numId w:val="2"/>
        </w:numPr>
        <w:jc w:val="left"/>
        <w:rPr>
          <w:rFonts w:ascii="Arial" w:hAnsi="Arial" w:cs="Arial"/>
          <w:sz w:val="24"/>
          <w:szCs w:val="24"/>
        </w:rPr>
      </w:pPr>
      <w:r>
        <w:rPr>
          <w:rFonts w:ascii="Arial" w:hAnsi="Arial" w:cs="Arial"/>
          <w:sz w:val="24"/>
          <w:szCs w:val="24"/>
        </w:rPr>
        <w:t>Reopen 28 acquired ex-Focus DIY stores in the B&amp;Q format</w:t>
      </w:r>
    </w:p>
    <w:p w:rsidR="00071D62" w:rsidRPr="00A63FD2" w:rsidRDefault="00071D62" w:rsidP="00972688">
      <w:pPr>
        <w:ind w:left="1440"/>
        <w:jc w:val="left"/>
        <w:rPr>
          <w:rFonts w:ascii="Arial" w:hAnsi="Arial" w:cs="Arial"/>
          <w:sz w:val="24"/>
          <w:szCs w:val="24"/>
        </w:rPr>
      </w:pPr>
    </w:p>
    <w:p w:rsidR="00071D62" w:rsidRDefault="00071D62" w:rsidP="00972688">
      <w:pPr>
        <w:numPr>
          <w:ilvl w:val="0"/>
          <w:numId w:val="4"/>
        </w:numPr>
        <w:jc w:val="left"/>
        <w:rPr>
          <w:rFonts w:ascii="Arial" w:hAnsi="Arial" w:cs="Arial"/>
          <w:sz w:val="24"/>
          <w:szCs w:val="24"/>
        </w:rPr>
      </w:pPr>
      <w:r w:rsidRPr="00A63FD2">
        <w:rPr>
          <w:rFonts w:ascii="Arial" w:hAnsi="Arial" w:cs="Arial"/>
          <w:sz w:val="24"/>
          <w:szCs w:val="24"/>
        </w:rPr>
        <w:t xml:space="preserve">Product </w:t>
      </w:r>
      <w:r>
        <w:rPr>
          <w:rFonts w:ascii="Arial" w:hAnsi="Arial" w:cs="Arial"/>
          <w:sz w:val="24"/>
          <w:szCs w:val="24"/>
        </w:rPr>
        <w:t>and</w:t>
      </w:r>
      <w:r w:rsidRPr="00A63FD2">
        <w:rPr>
          <w:rFonts w:ascii="Arial" w:hAnsi="Arial" w:cs="Arial"/>
          <w:sz w:val="24"/>
          <w:szCs w:val="24"/>
        </w:rPr>
        <w:t xml:space="preserve"> Service</w:t>
      </w:r>
    </w:p>
    <w:p w:rsidR="00071D62" w:rsidRPr="006D5386" w:rsidRDefault="00071D62" w:rsidP="00972688">
      <w:pPr>
        <w:numPr>
          <w:ilvl w:val="1"/>
          <w:numId w:val="2"/>
        </w:numPr>
        <w:jc w:val="left"/>
        <w:rPr>
          <w:rFonts w:ascii="Arial" w:hAnsi="Arial" w:cs="Arial"/>
          <w:sz w:val="24"/>
          <w:szCs w:val="24"/>
        </w:rPr>
      </w:pPr>
      <w:r>
        <w:rPr>
          <w:rFonts w:ascii="Arial" w:hAnsi="Arial" w:cs="Arial"/>
          <w:sz w:val="24"/>
          <w:szCs w:val="24"/>
        </w:rPr>
        <w:t xml:space="preserve">Open </w:t>
      </w:r>
      <w:r w:rsidRPr="006D5386">
        <w:rPr>
          <w:rFonts w:ascii="Arial" w:hAnsi="Arial" w:cs="Arial"/>
          <w:sz w:val="24"/>
          <w:szCs w:val="24"/>
        </w:rPr>
        <w:t xml:space="preserve">‘You can do it’ DIY centres in </w:t>
      </w:r>
      <w:r>
        <w:rPr>
          <w:rFonts w:ascii="Arial" w:hAnsi="Arial" w:cs="Arial"/>
          <w:sz w:val="24"/>
          <w:szCs w:val="24"/>
        </w:rPr>
        <w:t xml:space="preserve">a further 19 </w:t>
      </w:r>
      <w:r w:rsidRPr="006D5386">
        <w:rPr>
          <w:rFonts w:ascii="Arial" w:hAnsi="Arial" w:cs="Arial"/>
          <w:sz w:val="24"/>
          <w:szCs w:val="24"/>
        </w:rPr>
        <w:t>large stores</w:t>
      </w:r>
    </w:p>
    <w:p w:rsidR="00071D62" w:rsidRPr="00680882" w:rsidRDefault="00071D62" w:rsidP="00972688">
      <w:pPr>
        <w:numPr>
          <w:ilvl w:val="1"/>
          <w:numId w:val="2"/>
        </w:numPr>
        <w:jc w:val="left"/>
        <w:rPr>
          <w:rFonts w:ascii="Arial" w:hAnsi="Arial" w:cs="Arial"/>
          <w:sz w:val="24"/>
          <w:szCs w:val="24"/>
        </w:rPr>
      </w:pPr>
      <w:r>
        <w:rPr>
          <w:rFonts w:ascii="Arial" w:hAnsi="Arial" w:cs="Arial"/>
          <w:sz w:val="24"/>
          <w:szCs w:val="24"/>
        </w:rPr>
        <w:t>Create a further 40</w:t>
      </w:r>
      <w:r w:rsidRPr="00680882">
        <w:rPr>
          <w:rFonts w:ascii="Arial" w:hAnsi="Arial" w:cs="Arial"/>
          <w:sz w:val="24"/>
          <w:szCs w:val="24"/>
        </w:rPr>
        <w:t xml:space="preserve"> ‘how to’ videos available in-store and on diy.com</w:t>
      </w:r>
      <w:r>
        <w:rPr>
          <w:rFonts w:ascii="Arial" w:hAnsi="Arial" w:cs="Arial"/>
          <w:sz w:val="24"/>
          <w:szCs w:val="24"/>
        </w:rPr>
        <w:t xml:space="preserve"> and Youtube.com</w:t>
      </w:r>
    </w:p>
    <w:p w:rsidR="00071D62" w:rsidRPr="002356B1" w:rsidRDefault="00071D62" w:rsidP="00972688">
      <w:pPr>
        <w:jc w:val="left"/>
        <w:rPr>
          <w:rFonts w:ascii="Arial" w:hAnsi="Arial" w:cs="Arial"/>
          <w:sz w:val="24"/>
          <w:szCs w:val="24"/>
          <w:highlight w:val="yellow"/>
        </w:rPr>
      </w:pPr>
    </w:p>
    <w:p w:rsidR="00071D62" w:rsidRPr="00A63FD2" w:rsidRDefault="00071D62" w:rsidP="00972688">
      <w:pPr>
        <w:numPr>
          <w:ilvl w:val="0"/>
          <w:numId w:val="4"/>
        </w:numPr>
        <w:jc w:val="left"/>
        <w:rPr>
          <w:rFonts w:ascii="Arial" w:hAnsi="Arial" w:cs="Arial"/>
          <w:sz w:val="24"/>
          <w:szCs w:val="24"/>
        </w:rPr>
      </w:pPr>
      <w:r w:rsidRPr="00A63FD2">
        <w:rPr>
          <w:rFonts w:ascii="Arial" w:hAnsi="Arial" w:cs="Arial"/>
          <w:sz w:val="24"/>
          <w:szCs w:val="24"/>
        </w:rPr>
        <w:t>Margin and Costs</w:t>
      </w:r>
    </w:p>
    <w:p w:rsidR="00071D62" w:rsidRDefault="00071D62" w:rsidP="00972688">
      <w:pPr>
        <w:numPr>
          <w:ilvl w:val="1"/>
          <w:numId w:val="2"/>
        </w:numPr>
        <w:jc w:val="left"/>
        <w:rPr>
          <w:rFonts w:ascii="Arial" w:hAnsi="Arial" w:cs="Arial"/>
          <w:sz w:val="24"/>
          <w:szCs w:val="24"/>
        </w:rPr>
      </w:pPr>
      <w:r>
        <w:rPr>
          <w:rFonts w:ascii="Arial" w:hAnsi="Arial" w:cs="Arial"/>
          <w:sz w:val="24"/>
          <w:szCs w:val="24"/>
        </w:rPr>
        <w:t>Open new distribution centre in Swindon (as part of the supply chain efficiency project previously announced)</w:t>
      </w:r>
    </w:p>
    <w:p w:rsidR="00071D62" w:rsidRDefault="00071D62" w:rsidP="00972688">
      <w:pPr>
        <w:ind w:left="1080"/>
        <w:jc w:val="left"/>
        <w:rPr>
          <w:rFonts w:ascii="Arial" w:hAnsi="Arial" w:cs="Arial"/>
          <w:sz w:val="24"/>
          <w:szCs w:val="24"/>
        </w:rPr>
      </w:pPr>
    </w:p>
    <w:p w:rsidR="00071D62" w:rsidRDefault="00071D62" w:rsidP="00972688">
      <w:pPr>
        <w:ind w:left="720"/>
        <w:jc w:val="left"/>
        <w:rPr>
          <w:rFonts w:ascii="Arial" w:hAnsi="Arial" w:cs="Arial"/>
          <w:i/>
          <w:iCs/>
          <w:sz w:val="18"/>
          <w:szCs w:val="18"/>
        </w:rPr>
      </w:pPr>
      <w:r>
        <w:rPr>
          <w:rFonts w:ascii="Helvetica" w:hAnsi="Helvetica" w:cs="Helvetica"/>
          <w:i/>
          <w:iCs/>
          <w:sz w:val="20"/>
          <w:szCs w:val="20"/>
          <w:vertAlign w:val="superscript"/>
        </w:rPr>
        <w:t xml:space="preserve">(1)   </w:t>
      </w:r>
      <w:r>
        <w:rPr>
          <w:rFonts w:ascii="Arial" w:hAnsi="Arial" w:cs="Arial"/>
          <w:i/>
          <w:iCs/>
          <w:sz w:val="18"/>
          <w:szCs w:val="18"/>
        </w:rPr>
        <w:t>Store revamp milestones announced in March 2011 now adjusted as priority being given to the H2 revamp of ex-Focus DIY stores</w:t>
      </w:r>
    </w:p>
    <w:p w:rsidR="00071D62" w:rsidRDefault="00071D62" w:rsidP="00972688">
      <w:pPr>
        <w:ind w:left="1440"/>
        <w:jc w:val="left"/>
        <w:rPr>
          <w:rFonts w:ascii="Arial" w:hAnsi="Arial" w:cs="Arial"/>
          <w:sz w:val="24"/>
          <w:szCs w:val="24"/>
        </w:rPr>
      </w:pPr>
    </w:p>
    <w:p w:rsidR="00071D62" w:rsidRPr="00490D00" w:rsidRDefault="00071D62" w:rsidP="00972688">
      <w:pPr>
        <w:ind w:left="1440"/>
        <w:jc w:val="left"/>
        <w:rPr>
          <w:rFonts w:ascii="Arial" w:hAnsi="Arial" w:cs="Arial"/>
          <w:sz w:val="24"/>
          <w:szCs w:val="24"/>
        </w:rPr>
      </w:pPr>
    </w:p>
    <w:p w:rsidR="00071D62" w:rsidRDefault="00071D62" w:rsidP="00972688">
      <w:pPr>
        <w:ind w:left="360"/>
        <w:jc w:val="left"/>
        <w:rPr>
          <w:rFonts w:ascii="Arial" w:hAnsi="Arial" w:cs="Arial"/>
          <w:b/>
          <w:bCs/>
          <w:sz w:val="24"/>
          <w:szCs w:val="24"/>
        </w:rPr>
      </w:pPr>
    </w:p>
    <w:p w:rsidR="00071D62" w:rsidRDefault="00071D62" w:rsidP="00972688">
      <w:pPr>
        <w:ind w:left="360"/>
        <w:jc w:val="left"/>
        <w:rPr>
          <w:rFonts w:ascii="Arial" w:hAnsi="Arial" w:cs="Arial"/>
          <w:b/>
          <w:bCs/>
          <w:sz w:val="24"/>
          <w:szCs w:val="24"/>
        </w:rPr>
      </w:pPr>
    </w:p>
    <w:p w:rsidR="00071D62" w:rsidRDefault="00071D62">
      <w:pPr>
        <w:jc w:val="left"/>
        <w:rPr>
          <w:rFonts w:ascii="Arial" w:hAnsi="Arial" w:cs="Arial"/>
          <w:b/>
          <w:bCs/>
          <w:sz w:val="24"/>
          <w:szCs w:val="24"/>
        </w:rPr>
      </w:pPr>
    </w:p>
    <w:p w:rsidR="00071D62" w:rsidRPr="00472924" w:rsidRDefault="00071D62" w:rsidP="00972688">
      <w:pPr>
        <w:numPr>
          <w:ilvl w:val="0"/>
          <w:numId w:val="15"/>
        </w:numPr>
        <w:jc w:val="left"/>
        <w:rPr>
          <w:rFonts w:ascii="Arial" w:hAnsi="Arial" w:cs="Arial"/>
          <w:b/>
          <w:bCs/>
          <w:sz w:val="24"/>
          <w:szCs w:val="24"/>
        </w:rPr>
      </w:pPr>
      <w:r>
        <w:rPr>
          <w:rFonts w:ascii="Arial" w:hAnsi="Arial" w:cs="Arial"/>
          <w:b/>
          <w:bCs/>
          <w:sz w:val="24"/>
          <w:szCs w:val="24"/>
        </w:rPr>
        <w:t>Exploiting our UK Trade opportunity</w:t>
      </w:r>
    </w:p>
    <w:p w:rsidR="00071D62" w:rsidRPr="00A63FD2" w:rsidRDefault="00071D62" w:rsidP="00972688">
      <w:pPr>
        <w:jc w:val="left"/>
        <w:rPr>
          <w:rFonts w:ascii="Arial" w:hAnsi="Arial" w:cs="Arial"/>
          <w:sz w:val="24"/>
          <w:szCs w:val="24"/>
        </w:rPr>
      </w:pPr>
    </w:p>
    <w:p w:rsidR="00071D62" w:rsidRDefault="00071D62" w:rsidP="00972688">
      <w:pPr>
        <w:ind w:left="720"/>
        <w:jc w:val="left"/>
        <w:rPr>
          <w:rFonts w:ascii="Arial" w:hAnsi="Arial" w:cs="Arial"/>
          <w:b/>
          <w:bCs/>
          <w:i/>
          <w:iCs/>
          <w:sz w:val="24"/>
          <w:szCs w:val="24"/>
        </w:rPr>
      </w:pPr>
      <w:r>
        <w:rPr>
          <w:rFonts w:ascii="Arial" w:hAnsi="Arial" w:cs="Arial"/>
          <w:b/>
          <w:bCs/>
          <w:i/>
          <w:iCs/>
          <w:sz w:val="24"/>
          <w:szCs w:val="24"/>
        </w:rPr>
        <w:t>On target to grow s</w:t>
      </w:r>
      <w:r w:rsidRPr="0054503F">
        <w:rPr>
          <w:rFonts w:ascii="Arial" w:hAnsi="Arial" w:cs="Arial"/>
          <w:b/>
          <w:bCs/>
          <w:i/>
          <w:iCs/>
          <w:sz w:val="24"/>
          <w:szCs w:val="24"/>
        </w:rPr>
        <w:t xml:space="preserve">ales to the </w:t>
      </w:r>
      <w:r>
        <w:rPr>
          <w:rFonts w:ascii="Arial" w:hAnsi="Arial" w:cs="Arial"/>
          <w:b/>
          <w:bCs/>
          <w:i/>
          <w:iCs/>
          <w:sz w:val="24"/>
          <w:szCs w:val="24"/>
        </w:rPr>
        <w:t xml:space="preserve">professional </w:t>
      </w:r>
      <w:r w:rsidRPr="0054503F">
        <w:rPr>
          <w:rFonts w:ascii="Arial" w:hAnsi="Arial" w:cs="Arial"/>
          <w:b/>
          <w:bCs/>
          <w:i/>
          <w:iCs/>
          <w:sz w:val="24"/>
          <w:szCs w:val="24"/>
        </w:rPr>
        <w:t>trade</w:t>
      </w:r>
      <w:r>
        <w:rPr>
          <w:rFonts w:ascii="Arial" w:hAnsi="Arial" w:cs="Arial"/>
          <w:b/>
          <w:bCs/>
          <w:i/>
          <w:iCs/>
          <w:sz w:val="24"/>
          <w:szCs w:val="24"/>
        </w:rPr>
        <w:t>sman</w:t>
      </w:r>
      <w:r w:rsidRPr="0054503F">
        <w:rPr>
          <w:rFonts w:ascii="Arial" w:hAnsi="Arial" w:cs="Arial"/>
          <w:b/>
          <w:bCs/>
          <w:i/>
          <w:iCs/>
          <w:sz w:val="24"/>
          <w:szCs w:val="24"/>
        </w:rPr>
        <w:t xml:space="preserve"> </w:t>
      </w:r>
      <w:r>
        <w:rPr>
          <w:rFonts w:ascii="Arial" w:hAnsi="Arial" w:cs="Arial"/>
          <w:b/>
          <w:bCs/>
          <w:i/>
          <w:iCs/>
          <w:sz w:val="24"/>
          <w:szCs w:val="24"/>
        </w:rPr>
        <w:t>to £1 billion in 2011/12.</w:t>
      </w:r>
    </w:p>
    <w:p w:rsidR="00071D62" w:rsidRPr="0054503F" w:rsidRDefault="00071D62" w:rsidP="00972688">
      <w:pPr>
        <w:ind w:left="720"/>
        <w:jc w:val="left"/>
        <w:rPr>
          <w:rFonts w:ascii="Arial" w:hAnsi="Arial" w:cs="Arial"/>
          <w:b/>
          <w:bCs/>
          <w:i/>
          <w:iCs/>
          <w:sz w:val="24"/>
          <w:szCs w:val="24"/>
        </w:rPr>
      </w:pPr>
    </w:p>
    <w:p w:rsidR="00071D62" w:rsidRDefault="00071D62" w:rsidP="00972688">
      <w:pPr>
        <w:ind w:left="720"/>
        <w:jc w:val="left"/>
        <w:rPr>
          <w:rFonts w:ascii="Arial" w:hAnsi="Arial" w:cs="Arial"/>
          <w:b/>
          <w:bCs/>
          <w:sz w:val="24"/>
          <w:szCs w:val="24"/>
        </w:rPr>
      </w:pPr>
      <w:r>
        <w:rPr>
          <w:rFonts w:ascii="Arial" w:hAnsi="Arial" w:cs="Arial"/>
          <w:b/>
          <w:bCs/>
          <w:sz w:val="24"/>
          <w:szCs w:val="24"/>
        </w:rPr>
        <w:t>2011/12 first half progress</w:t>
      </w:r>
    </w:p>
    <w:p w:rsidR="00071D62" w:rsidRPr="003536BB" w:rsidRDefault="00071D62" w:rsidP="00972688">
      <w:pPr>
        <w:jc w:val="left"/>
        <w:rPr>
          <w:rFonts w:ascii="Arial" w:hAnsi="Arial" w:cs="Arial"/>
          <w:b/>
          <w:bCs/>
          <w:sz w:val="24"/>
          <w:szCs w:val="24"/>
        </w:rPr>
      </w:pPr>
    </w:p>
    <w:p w:rsidR="00071D62" w:rsidRPr="00A63FD2" w:rsidRDefault="00071D62" w:rsidP="00972688">
      <w:pPr>
        <w:numPr>
          <w:ilvl w:val="0"/>
          <w:numId w:val="5"/>
        </w:numPr>
        <w:jc w:val="left"/>
        <w:rPr>
          <w:rFonts w:ascii="Arial" w:hAnsi="Arial" w:cs="Arial"/>
          <w:sz w:val="24"/>
          <w:szCs w:val="24"/>
        </w:rPr>
      </w:pPr>
      <w:r>
        <w:rPr>
          <w:rFonts w:ascii="Arial" w:hAnsi="Arial" w:cs="Arial"/>
          <w:sz w:val="24"/>
          <w:szCs w:val="24"/>
        </w:rPr>
        <w:t>Added new services for trade professionals including:</w:t>
      </w:r>
    </w:p>
    <w:p w:rsidR="00071D62" w:rsidRDefault="00071D62" w:rsidP="00972688">
      <w:pPr>
        <w:numPr>
          <w:ilvl w:val="1"/>
          <w:numId w:val="5"/>
        </w:numPr>
        <w:jc w:val="left"/>
        <w:rPr>
          <w:rFonts w:ascii="Arial" w:hAnsi="Arial" w:cs="Arial"/>
          <w:sz w:val="24"/>
          <w:szCs w:val="24"/>
        </w:rPr>
      </w:pPr>
      <w:r>
        <w:rPr>
          <w:rFonts w:ascii="Arial" w:hAnsi="Arial" w:cs="Arial"/>
          <w:sz w:val="24"/>
          <w:szCs w:val="24"/>
        </w:rPr>
        <w:t>development of a</w:t>
      </w:r>
      <w:r w:rsidRPr="00054DE9">
        <w:rPr>
          <w:rFonts w:ascii="Arial" w:hAnsi="Arial" w:cs="Arial"/>
          <w:sz w:val="24"/>
          <w:szCs w:val="24"/>
        </w:rPr>
        <w:t xml:space="preserve"> ‘click, pay and colle</w:t>
      </w:r>
      <w:r>
        <w:rPr>
          <w:rFonts w:ascii="Arial" w:hAnsi="Arial" w:cs="Arial"/>
          <w:sz w:val="24"/>
          <w:szCs w:val="24"/>
        </w:rPr>
        <w:t>ct in 15 minutes’ offer for all</w:t>
      </w:r>
      <w:r w:rsidRPr="00054DE9">
        <w:rPr>
          <w:rFonts w:ascii="Arial" w:hAnsi="Arial" w:cs="Arial"/>
          <w:sz w:val="24"/>
          <w:szCs w:val="24"/>
        </w:rPr>
        <w:t xml:space="preserve"> Screwfix </w:t>
      </w:r>
      <w:r>
        <w:rPr>
          <w:rFonts w:ascii="Arial" w:hAnsi="Arial" w:cs="Arial"/>
          <w:sz w:val="24"/>
          <w:szCs w:val="24"/>
        </w:rPr>
        <w:t>trade counters, already taking over 10,000 orders a week</w:t>
      </w:r>
    </w:p>
    <w:p w:rsidR="00071D62" w:rsidRDefault="00071D62" w:rsidP="00972688">
      <w:pPr>
        <w:numPr>
          <w:ilvl w:val="1"/>
          <w:numId w:val="5"/>
        </w:numPr>
        <w:jc w:val="left"/>
        <w:rPr>
          <w:rFonts w:ascii="Arial" w:hAnsi="Arial" w:cs="Arial"/>
          <w:sz w:val="24"/>
          <w:szCs w:val="24"/>
        </w:rPr>
      </w:pPr>
      <w:r>
        <w:rPr>
          <w:rFonts w:ascii="Arial" w:hAnsi="Arial" w:cs="Arial"/>
          <w:sz w:val="24"/>
          <w:szCs w:val="24"/>
        </w:rPr>
        <w:t>bulky goods delivery to further extend the ‘TradePoint’ and Screwfix offer</w:t>
      </w:r>
    </w:p>
    <w:p w:rsidR="00071D62" w:rsidRDefault="00071D62" w:rsidP="00972688">
      <w:pPr>
        <w:numPr>
          <w:ilvl w:val="1"/>
          <w:numId w:val="5"/>
        </w:numPr>
        <w:jc w:val="left"/>
        <w:rPr>
          <w:rFonts w:ascii="Arial" w:hAnsi="Arial" w:cs="Arial"/>
          <w:sz w:val="24"/>
          <w:szCs w:val="24"/>
        </w:rPr>
      </w:pPr>
      <w:r>
        <w:rPr>
          <w:rFonts w:ascii="Arial" w:hAnsi="Arial" w:cs="Arial"/>
          <w:sz w:val="24"/>
          <w:szCs w:val="24"/>
        </w:rPr>
        <w:t>an improved third-party credit and insurance offer that can be used across all Kingfisher UK formats</w:t>
      </w:r>
    </w:p>
    <w:p w:rsidR="00071D62" w:rsidRDefault="00071D62" w:rsidP="00972688">
      <w:pPr>
        <w:numPr>
          <w:ilvl w:val="0"/>
          <w:numId w:val="5"/>
        </w:numPr>
        <w:jc w:val="left"/>
        <w:rPr>
          <w:rFonts w:ascii="Arial" w:hAnsi="Arial" w:cs="Arial"/>
          <w:sz w:val="24"/>
          <w:szCs w:val="24"/>
        </w:rPr>
      </w:pPr>
      <w:r w:rsidRPr="00C928AA">
        <w:rPr>
          <w:rFonts w:ascii="Arial" w:hAnsi="Arial" w:cs="Arial"/>
          <w:sz w:val="24"/>
          <w:szCs w:val="24"/>
        </w:rPr>
        <w:t>Open</w:t>
      </w:r>
      <w:r>
        <w:rPr>
          <w:rFonts w:ascii="Arial" w:hAnsi="Arial" w:cs="Arial"/>
          <w:sz w:val="24"/>
          <w:szCs w:val="24"/>
        </w:rPr>
        <w:t>ed</w:t>
      </w:r>
      <w:r w:rsidRPr="00C928AA">
        <w:rPr>
          <w:rFonts w:ascii="Arial" w:hAnsi="Arial" w:cs="Arial"/>
          <w:sz w:val="24"/>
          <w:szCs w:val="24"/>
        </w:rPr>
        <w:t xml:space="preserve"> </w:t>
      </w:r>
      <w:r>
        <w:rPr>
          <w:rFonts w:ascii="Arial" w:hAnsi="Arial" w:cs="Arial"/>
          <w:sz w:val="24"/>
          <w:szCs w:val="24"/>
        </w:rPr>
        <w:t>13</w:t>
      </w:r>
      <w:r w:rsidRPr="00C928AA">
        <w:rPr>
          <w:rFonts w:ascii="Arial" w:hAnsi="Arial" w:cs="Arial"/>
          <w:sz w:val="24"/>
          <w:szCs w:val="24"/>
        </w:rPr>
        <w:t xml:space="preserve"> further Screwfix </w:t>
      </w:r>
      <w:r>
        <w:rPr>
          <w:rFonts w:ascii="Arial" w:hAnsi="Arial" w:cs="Arial"/>
          <w:sz w:val="24"/>
          <w:szCs w:val="24"/>
        </w:rPr>
        <w:t xml:space="preserve">net new </w:t>
      </w:r>
      <w:r w:rsidRPr="00C928AA">
        <w:rPr>
          <w:rFonts w:ascii="Arial" w:hAnsi="Arial" w:cs="Arial"/>
          <w:sz w:val="24"/>
          <w:szCs w:val="24"/>
        </w:rPr>
        <w:t>outlets</w:t>
      </w:r>
      <w:r>
        <w:rPr>
          <w:rFonts w:ascii="Arial" w:hAnsi="Arial" w:cs="Arial"/>
          <w:sz w:val="24"/>
          <w:szCs w:val="24"/>
        </w:rPr>
        <w:t xml:space="preserve"> </w:t>
      </w:r>
    </w:p>
    <w:p w:rsidR="00071D62" w:rsidRDefault="00071D62" w:rsidP="00972688">
      <w:pPr>
        <w:numPr>
          <w:ilvl w:val="0"/>
          <w:numId w:val="5"/>
        </w:numPr>
        <w:jc w:val="left"/>
        <w:rPr>
          <w:rFonts w:ascii="Arial" w:hAnsi="Arial" w:cs="Arial"/>
          <w:sz w:val="24"/>
          <w:szCs w:val="24"/>
        </w:rPr>
      </w:pPr>
      <w:r>
        <w:rPr>
          <w:rFonts w:ascii="Arial" w:hAnsi="Arial" w:cs="Arial"/>
          <w:sz w:val="24"/>
          <w:szCs w:val="24"/>
        </w:rPr>
        <w:t>Developed smaller version of Screwfix outlet, providing access to smaller or more densely populated urban catchments</w:t>
      </w:r>
    </w:p>
    <w:p w:rsidR="00071D62" w:rsidRDefault="00071D62" w:rsidP="00972688">
      <w:pPr>
        <w:numPr>
          <w:ilvl w:val="0"/>
          <w:numId w:val="5"/>
        </w:numPr>
        <w:jc w:val="left"/>
        <w:rPr>
          <w:rFonts w:ascii="Arial" w:hAnsi="Arial" w:cs="Arial"/>
          <w:sz w:val="24"/>
          <w:szCs w:val="24"/>
        </w:rPr>
      </w:pPr>
      <w:r>
        <w:rPr>
          <w:rFonts w:ascii="Arial" w:hAnsi="Arial" w:cs="Arial"/>
          <w:sz w:val="24"/>
          <w:szCs w:val="24"/>
        </w:rPr>
        <w:t>Over 650,000 ‘TradePoint’ customers now registered</w:t>
      </w:r>
    </w:p>
    <w:p w:rsidR="00071D62" w:rsidRDefault="00071D62" w:rsidP="00972688">
      <w:pPr>
        <w:jc w:val="left"/>
        <w:rPr>
          <w:rFonts w:ascii="Arial" w:hAnsi="Arial" w:cs="Arial"/>
          <w:b/>
          <w:bCs/>
          <w:sz w:val="24"/>
          <w:szCs w:val="24"/>
        </w:rPr>
      </w:pPr>
    </w:p>
    <w:p w:rsidR="00071D62" w:rsidRPr="00C20122" w:rsidRDefault="00071D62" w:rsidP="00972688">
      <w:pPr>
        <w:ind w:firstLine="720"/>
        <w:jc w:val="left"/>
        <w:rPr>
          <w:rFonts w:ascii="Arial" w:hAnsi="Arial" w:cs="Arial"/>
          <w:b/>
          <w:bCs/>
          <w:sz w:val="24"/>
          <w:szCs w:val="24"/>
        </w:rPr>
      </w:pPr>
      <w:r>
        <w:rPr>
          <w:rFonts w:ascii="Arial" w:hAnsi="Arial" w:cs="Arial"/>
          <w:b/>
          <w:bCs/>
          <w:sz w:val="24"/>
          <w:szCs w:val="24"/>
        </w:rPr>
        <w:t>2011/12</w:t>
      </w:r>
      <w:r w:rsidRPr="00C20122">
        <w:rPr>
          <w:rFonts w:ascii="Arial" w:hAnsi="Arial" w:cs="Arial"/>
          <w:b/>
          <w:bCs/>
          <w:sz w:val="24"/>
          <w:szCs w:val="24"/>
        </w:rPr>
        <w:t xml:space="preserve"> </w:t>
      </w:r>
      <w:r>
        <w:rPr>
          <w:rFonts w:ascii="Arial" w:hAnsi="Arial" w:cs="Arial"/>
          <w:b/>
          <w:bCs/>
          <w:sz w:val="24"/>
          <w:szCs w:val="24"/>
        </w:rPr>
        <w:t xml:space="preserve">second half </w:t>
      </w:r>
      <w:r w:rsidRPr="00C20122">
        <w:rPr>
          <w:rFonts w:ascii="Arial" w:hAnsi="Arial" w:cs="Arial"/>
          <w:b/>
          <w:bCs/>
          <w:sz w:val="24"/>
          <w:szCs w:val="24"/>
        </w:rPr>
        <w:t>milestones</w:t>
      </w:r>
    </w:p>
    <w:p w:rsidR="00071D62" w:rsidRPr="00C20122" w:rsidRDefault="00071D62" w:rsidP="00972688">
      <w:pPr>
        <w:ind w:firstLine="720"/>
        <w:jc w:val="left"/>
        <w:rPr>
          <w:rFonts w:ascii="Arial" w:hAnsi="Arial" w:cs="Arial"/>
          <w:b/>
          <w:bCs/>
          <w:sz w:val="24"/>
          <w:szCs w:val="24"/>
        </w:rPr>
      </w:pPr>
    </w:p>
    <w:p w:rsidR="00071D62" w:rsidRDefault="00071D62">
      <w:pPr>
        <w:numPr>
          <w:ilvl w:val="0"/>
          <w:numId w:val="5"/>
        </w:numPr>
        <w:jc w:val="left"/>
        <w:rPr>
          <w:rFonts w:ascii="Arial" w:hAnsi="Arial" w:cs="Arial"/>
          <w:sz w:val="24"/>
          <w:szCs w:val="24"/>
        </w:rPr>
      </w:pPr>
      <w:r>
        <w:rPr>
          <w:rFonts w:ascii="Arial" w:hAnsi="Arial" w:cs="Arial"/>
          <w:sz w:val="24"/>
          <w:szCs w:val="24"/>
        </w:rPr>
        <w:t xml:space="preserve">Add new services for trade professionals including a ‘TradePoint’ call centre and a </w:t>
      </w:r>
      <w:r w:rsidRPr="00054DE9">
        <w:rPr>
          <w:rFonts w:ascii="Arial" w:hAnsi="Arial" w:cs="Arial"/>
          <w:sz w:val="24"/>
          <w:szCs w:val="24"/>
        </w:rPr>
        <w:t xml:space="preserve">smart phone transactional application </w:t>
      </w:r>
      <w:r>
        <w:rPr>
          <w:rFonts w:ascii="Arial" w:hAnsi="Arial" w:cs="Arial"/>
          <w:sz w:val="24"/>
          <w:szCs w:val="24"/>
        </w:rPr>
        <w:t xml:space="preserve">for Screwfix </w:t>
      </w:r>
      <w:r w:rsidRPr="00054DE9">
        <w:rPr>
          <w:rFonts w:ascii="Arial" w:hAnsi="Arial" w:cs="Arial"/>
          <w:sz w:val="24"/>
          <w:szCs w:val="24"/>
        </w:rPr>
        <w:t>to allow easier online shopping</w:t>
      </w:r>
    </w:p>
    <w:p w:rsidR="00071D62" w:rsidRDefault="00071D62" w:rsidP="00972688">
      <w:pPr>
        <w:numPr>
          <w:ilvl w:val="0"/>
          <w:numId w:val="5"/>
        </w:numPr>
        <w:jc w:val="left"/>
        <w:rPr>
          <w:rFonts w:ascii="Arial" w:hAnsi="Arial" w:cs="Arial"/>
          <w:sz w:val="24"/>
          <w:szCs w:val="24"/>
        </w:rPr>
      </w:pPr>
      <w:r>
        <w:rPr>
          <w:rFonts w:ascii="Arial" w:hAnsi="Arial" w:cs="Arial"/>
          <w:sz w:val="24"/>
          <w:szCs w:val="24"/>
        </w:rPr>
        <w:t>Accelerate the opening of new Screwfix outlets adding up to a further 40 in H2, of which 30 will be the in new smaller format</w:t>
      </w:r>
    </w:p>
    <w:p w:rsidR="00071D62" w:rsidRPr="00DB303F" w:rsidRDefault="00071D62" w:rsidP="00972688">
      <w:pPr>
        <w:numPr>
          <w:ilvl w:val="0"/>
          <w:numId w:val="5"/>
        </w:numPr>
        <w:jc w:val="left"/>
        <w:rPr>
          <w:rFonts w:ascii="Arial" w:hAnsi="Arial" w:cs="Arial"/>
          <w:sz w:val="24"/>
          <w:szCs w:val="24"/>
        </w:rPr>
      </w:pPr>
      <w:r>
        <w:rPr>
          <w:rFonts w:ascii="Arial" w:hAnsi="Arial" w:cs="Arial"/>
          <w:sz w:val="24"/>
          <w:szCs w:val="24"/>
        </w:rPr>
        <w:t>Launch specialist websites for both ‘Plumbfix’ and Electricfix’</w:t>
      </w:r>
    </w:p>
    <w:p w:rsidR="00071D62" w:rsidRDefault="00071D62" w:rsidP="00972688">
      <w:pPr>
        <w:jc w:val="left"/>
        <w:rPr>
          <w:rFonts w:ascii="Arial" w:hAnsi="Arial" w:cs="Arial"/>
          <w:sz w:val="24"/>
          <w:szCs w:val="24"/>
        </w:rPr>
      </w:pPr>
    </w:p>
    <w:p w:rsidR="00071D62" w:rsidRPr="00C928AA" w:rsidRDefault="00071D62" w:rsidP="00972688">
      <w:pPr>
        <w:jc w:val="left"/>
        <w:rPr>
          <w:rFonts w:ascii="Arial" w:hAnsi="Arial" w:cs="Arial"/>
          <w:sz w:val="24"/>
          <w:szCs w:val="24"/>
        </w:rPr>
      </w:pPr>
    </w:p>
    <w:p w:rsidR="00071D62" w:rsidRPr="00C928AA" w:rsidRDefault="00071D62" w:rsidP="00972688">
      <w:pPr>
        <w:numPr>
          <w:ilvl w:val="0"/>
          <w:numId w:val="15"/>
        </w:numPr>
        <w:rPr>
          <w:rFonts w:ascii="Arial" w:hAnsi="Arial" w:cs="Arial"/>
          <w:sz w:val="24"/>
          <w:szCs w:val="24"/>
        </w:rPr>
      </w:pPr>
      <w:r w:rsidRPr="00C928AA">
        <w:rPr>
          <w:rFonts w:ascii="Arial" w:hAnsi="Arial" w:cs="Arial"/>
          <w:b/>
          <w:bCs/>
          <w:sz w:val="24"/>
          <w:szCs w:val="24"/>
        </w:rPr>
        <w:t>Expanding our total French business</w:t>
      </w:r>
    </w:p>
    <w:p w:rsidR="00071D62" w:rsidRDefault="00071D62" w:rsidP="00972688">
      <w:pPr>
        <w:jc w:val="left"/>
        <w:rPr>
          <w:rFonts w:ascii="Arial" w:hAnsi="Arial" w:cs="Arial"/>
          <w:b/>
          <w:bCs/>
          <w:sz w:val="24"/>
          <w:szCs w:val="24"/>
        </w:rPr>
      </w:pPr>
    </w:p>
    <w:p w:rsidR="00071D62" w:rsidRPr="00737812" w:rsidRDefault="00071D62" w:rsidP="00972688">
      <w:pPr>
        <w:ind w:left="720"/>
        <w:jc w:val="left"/>
        <w:rPr>
          <w:rFonts w:ascii="Arial" w:hAnsi="Arial" w:cs="Arial"/>
          <w:b/>
          <w:bCs/>
          <w:sz w:val="24"/>
          <w:szCs w:val="24"/>
        </w:rPr>
      </w:pPr>
      <w:r>
        <w:rPr>
          <w:rFonts w:ascii="Arial" w:hAnsi="Arial" w:cs="Arial"/>
          <w:b/>
          <w:bCs/>
          <w:i/>
          <w:iCs/>
          <w:sz w:val="24"/>
          <w:szCs w:val="24"/>
        </w:rPr>
        <w:t>Good sales growth, buying optimisation and increased direct sourcing delivering strong profit growth (up 24% in constant currencies).</w:t>
      </w:r>
    </w:p>
    <w:p w:rsidR="00071D62" w:rsidRDefault="00071D62" w:rsidP="00972688">
      <w:pPr>
        <w:ind w:left="720"/>
        <w:jc w:val="left"/>
        <w:rPr>
          <w:rFonts w:ascii="Arial" w:hAnsi="Arial" w:cs="Arial"/>
          <w:b/>
          <w:bCs/>
          <w:sz w:val="24"/>
          <w:szCs w:val="24"/>
        </w:rPr>
      </w:pPr>
    </w:p>
    <w:p w:rsidR="00071D62" w:rsidRDefault="00071D62" w:rsidP="00972688">
      <w:pPr>
        <w:ind w:left="720"/>
        <w:jc w:val="left"/>
        <w:rPr>
          <w:rFonts w:ascii="Arial" w:hAnsi="Arial" w:cs="Arial"/>
          <w:b/>
          <w:bCs/>
          <w:sz w:val="24"/>
          <w:szCs w:val="24"/>
        </w:rPr>
      </w:pPr>
      <w:r>
        <w:rPr>
          <w:rFonts w:ascii="Arial" w:hAnsi="Arial" w:cs="Arial"/>
          <w:b/>
          <w:bCs/>
          <w:sz w:val="24"/>
          <w:szCs w:val="24"/>
        </w:rPr>
        <w:t>2011/12 first half progress</w:t>
      </w:r>
    </w:p>
    <w:p w:rsidR="00071D62" w:rsidRPr="00543CFA" w:rsidRDefault="00071D62" w:rsidP="00972688">
      <w:pPr>
        <w:ind w:left="720"/>
        <w:jc w:val="left"/>
        <w:rPr>
          <w:rFonts w:ascii="Arial" w:hAnsi="Arial" w:cs="Arial"/>
          <w:sz w:val="24"/>
          <w:szCs w:val="24"/>
        </w:rPr>
      </w:pPr>
    </w:p>
    <w:p w:rsidR="00071D62" w:rsidRDefault="00071D62" w:rsidP="00972688">
      <w:pPr>
        <w:numPr>
          <w:ilvl w:val="0"/>
          <w:numId w:val="5"/>
        </w:numPr>
        <w:jc w:val="left"/>
        <w:rPr>
          <w:rFonts w:ascii="Arial" w:hAnsi="Arial" w:cs="Arial"/>
          <w:sz w:val="24"/>
          <w:szCs w:val="24"/>
        </w:rPr>
      </w:pPr>
      <w:r>
        <w:rPr>
          <w:rFonts w:ascii="Arial" w:hAnsi="Arial" w:cs="Arial"/>
          <w:sz w:val="24"/>
          <w:szCs w:val="24"/>
        </w:rPr>
        <w:t>Opened 1 new store, completed 2 relocations and 1 revamp</w:t>
      </w:r>
    </w:p>
    <w:p w:rsidR="00071D62" w:rsidRDefault="00071D62" w:rsidP="00972688">
      <w:pPr>
        <w:numPr>
          <w:ilvl w:val="0"/>
          <w:numId w:val="5"/>
        </w:numPr>
        <w:jc w:val="left"/>
        <w:rPr>
          <w:rFonts w:ascii="Arial" w:hAnsi="Arial" w:cs="Arial"/>
          <w:sz w:val="24"/>
          <w:szCs w:val="24"/>
        </w:rPr>
      </w:pPr>
      <w:r>
        <w:rPr>
          <w:rFonts w:ascii="Arial" w:hAnsi="Arial" w:cs="Arial"/>
          <w:sz w:val="24"/>
          <w:szCs w:val="24"/>
        </w:rPr>
        <w:t>Continued extensive programme of new product launches across both businesses</w:t>
      </w:r>
    </w:p>
    <w:p w:rsidR="00071D62" w:rsidRDefault="00071D62" w:rsidP="00972688">
      <w:pPr>
        <w:numPr>
          <w:ilvl w:val="0"/>
          <w:numId w:val="5"/>
        </w:numPr>
        <w:jc w:val="left"/>
        <w:rPr>
          <w:rFonts w:ascii="Arial" w:hAnsi="Arial" w:cs="Arial"/>
          <w:sz w:val="24"/>
          <w:szCs w:val="24"/>
        </w:rPr>
      </w:pPr>
      <w:r>
        <w:rPr>
          <w:rFonts w:ascii="Arial" w:hAnsi="Arial" w:cs="Arial"/>
          <w:sz w:val="24"/>
          <w:szCs w:val="24"/>
        </w:rPr>
        <w:t>Re-launched the Brico Dépôt ‘Le Book’ pocket-sized catalogue</w:t>
      </w:r>
    </w:p>
    <w:p w:rsidR="00071D62" w:rsidRDefault="00071D62" w:rsidP="00972688">
      <w:pPr>
        <w:numPr>
          <w:ilvl w:val="0"/>
          <w:numId w:val="5"/>
        </w:numPr>
        <w:jc w:val="left"/>
        <w:rPr>
          <w:rFonts w:ascii="Arial" w:hAnsi="Arial" w:cs="Arial"/>
          <w:sz w:val="24"/>
          <w:szCs w:val="24"/>
        </w:rPr>
      </w:pPr>
      <w:r>
        <w:rPr>
          <w:rFonts w:ascii="Arial" w:hAnsi="Arial" w:cs="Arial"/>
          <w:sz w:val="24"/>
          <w:szCs w:val="24"/>
        </w:rPr>
        <w:t>Extended buying optimisation programme, to include Brico Dépôt Spain</w:t>
      </w:r>
    </w:p>
    <w:p w:rsidR="00071D62" w:rsidRDefault="00071D62" w:rsidP="00972688">
      <w:pPr>
        <w:numPr>
          <w:ilvl w:val="0"/>
          <w:numId w:val="5"/>
        </w:numPr>
        <w:jc w:val="left"/>
        <w:rPr>
          <w:rFonts w:ascii="Arial" w:hAnsi="Arial" w:cs="Arial"/>
          <w:sz w:val="24"/>
          <w:szCs w:val="24"/>
        </w:rPr>
      </w:pPr>
      <w:r>
        <w:rPr>
          <w:rFonts w:ascii="Arial" w:hAnsi="Arial" w:cs="Arial"/>
          <w:sz w:val="24"/>
          <w:szCs w:val="24"/>
        </w:rPr>
        <w:t>Rolled out successful common incentive schemes to all store staff across both businesses incorporating new operational measures</w:t>
      </w:r>
    </w:p>
    <w:p w:rsidR="00071D62" w:rsidRDefault="00071D62" w:rsidP="00972688">
      <w:pPr>
        <w:numPr>
          <w:ilvl w:val="0"/>
          <w:numId w:val="5"/>
        </w:numPr>
        <w:jc w:val="left"/>
        <w:rPr>
          <w:rFonts w:ascii="Arial" w:hAnsi="Arial" w:cs="Arial"/>
          <w:sz w:val="24"/>
          <w:szCs w:val="24"/>
        </w:rPr>
      </w:pPr>
      <w:r>
        <w:rPr>
          <w:rFonts w:ascii="Arial" w:hAnsi="Arial" w:cs="Arial"/>
          <w:sz w:val="24"/>
          <w:szCs w:val="24"/>
        </w:rPr>
        <w:t xml:space="preserve">Direct sourced shipments continue to grow ahead of target </w:t>
      </w:r>
    </w:p>
    <w:p w:rsidR="00071D62" w:rsidRDefault="00071D62" w:rsidP="00972688">
      <w:pPr>
        <w:ind w:left="720"/>
        <w:jc w:val="left"/>
        <w:rPr>
          <w:rFonts w:ascii="Arial" w:hAnsi="Arial" w:cs="Arial"/>
          <w:b/>
          <w:bCs/>
          <w:sz w:val="24"/>
          <w:szCs w:val="24"/>
        </w:rPr>
      </w:pPr>
    </w:p>
    <w:p w:rsidR="00071D62" w:rsidRPr="00C20122" w:rsidRDefault="00071D62" w:rsidP="00972688">
      <w:pPr>
        <w:ind w:firstLine="720"/>
        <w:jc w:val="left"/>
        <w:rPr>
          <w:rFonts w:ascii="Arial" w:hAnsi="Arial" w:cs="Arial"/>
          <w:b/>
          <w:bCs/>
          <w:sz w:val="24"/>
          <w:szCs w:val="24"/>
        </w:rPr>
      </w:pPr>
      <w:r>
        <w:rPr>
          <w:rFonts w:ascii="Arial" w:hAnsi="Arial" w:cs="Arial"/>
          <w:b/>
          <w:bCs/>
          <w:sz w:val="24"/>
          <w:szCs w:val="24"/>
        </w:rPr>
        <w:t>2011/12</w:t>
      </w:r>
      <w:r w:rsidRPr="00C20122">
        <w:rPr>
          <w:rFonts w:ascii="Arial" w:hAnsi="Arial" w:cs="Arial"/>
          <w:b/>
          <w:bCs/>
          <w:sz w:val="24"/>
          <w:szCs w:val="24"/>
        </w:rPr>
        <w:t xml:space="preserve"> </w:t>
      </w:r>
      <w:r>
        <w:rPr>
          <w:rFonts w:ascii="Arial" w:hAnsi="Arial" w:cs="Arial"/>
          <w:b/>
          <w:bCs/>
          <w:sz w:val="24"/>
          <w:szCs w:val="24"/>
        </w:rPr>
        <w:t xml:space="preserve">second half </w:t>
      </w:r>
      <w:r w:rsidRPr="00C20122">
        <w:rPr>
          <w:rFonts w:ascii="Arial" w:hAnsi="Arial" w:cs="Arial"/>
          <w:b/>
          <w:bCs/>
          <w:sz w:val="24"/>
          <w:szCs w:val="24"/>
        </w:rPr>
        <w:t>milestones</w:t>
      </w:r>
    </w:p>
    <w:p w:rsidR="00071D62" w:rsidRPr="00543CFA" w:rsidRDefault="00071D62" w:rsidP="00972688">
      <w:pPr>
        <w:jc w:val="left"/>
        <w:rPr>
          <w:rFonts w:ascii="Arial" w:hAnsi="Arial" w:cs="Arial"/>
          <w:sz w:val="24"/>
          <w:szCs w:val="24"/>
        </w:rPr>
      </w:pPr>
    </w:p>
    <w:p w:rsidR="00071D62" w:rsidRDefault="00071D62" w:rsidP="00972688">
      <w:pPr>
        <w:numPr>
          <w:ilvl w:val="0"/>
          <w:numId w:val="5"/>
        </w:numPr>
        <w:jc w:val="left"/>
        <w:rPr>
          <w:rFonts w:ascii="Arial" w:hAnsi="Arial" w:cs="Arial"/>
          <w:sz w:val="24"/>
          <w:szCs w:val="24"/>
        </w:rPr>
      </w:pPr>
      <w:r>
        <w:rPr>
          <w:rFonts w:ascii="Arial" w:hAnsi="Arial" w:cs="Arial"/>
          <w:sz w:val="24"/>
          <w:szCs w:val="24"/>
        </w:rPr>
        <w:t>Open 1 new store, 2 relocations and 1 revamp, adding around 2% net new space for the full year</w:t>
      </w:r>
    </w:p>
    <w:p w:rsidR="00071D62" w:rsidRDefault="00071D62" w:rsidP="00972688">
      <w:pPr>
        <w:numPr>
          <w:ilvl w:val="0"/>
          <w:numId w:val="5"/>
        </w:numPr>
        <w:jc w:val="left"/>
        <w:rPr>
          <w:rFonts w:ascii="Arial" w:hAnsi="Arial" w:cs="Arial"/>
          <w:sz w:val="24"/>
          <w:szCs w:val="24"/>
        </w:rPr>
      </w:pPr>
      <w:r>
        <w:rPr>
          <w:rFonts w:ascii="Arial" w:hAnsi="Arial" w:cs="Arial"/>
          <w:sz w:val="24"/>
          <w:szCs w:val="24"/>
        </w:rPr>
        <w:t>Continue with up-weighted new product launches across both businesses</w:t>
      </w:r>
    </w:p>
    <w:p w:rsidR="00071D62" w:rsidRDefault="00071D62" w:rsidP="00972688">
      <w:pPr>
        <w:numPr>
          <w:ilvl w:val="0"/>
          <w:numId w:val="5"/>
        </w:numPr>
        <w:jc w:val="left"/>
        <w:rPr>
          <w:rFonts w:ascii="Arial" w:hAnsi="Arial" w:cs="Arial"/>
          <w:sz w:val="24"/>
          <w:szCs w:val="24"/>
        </w:rPr>
      </w:pPr>
      <w:r>
        <w:rPr>
          <w:rFonts w:ascii="Arial" w:hAnsi="Arial" w:cs="Arial"/>
          <w:sz w:val="24"/>
          <w:szCs w:val="24"/>
        </w:rPr>
        <w:t>Continue to extend buying optimisation programme</w:t>
      </w:r>
    </w:p>
    <w:p w:rsidR="00071D62" w:rsidRDefault="00071D62" w:rsidP="00972688">
      <w:pPr>
        <w:ind w:left="360"/>
        <w:jc w:val="left"/>
        <w:rPr>
          <w:rFonts w:ascii="Arial" w:hAnsi="Arial" w:cs="Arial"/>
          <w:i/>
          <w:iCs/>
          <w:sz w:val="20"/>
          <w:szCs w:val="20"/>
        </w:rPr>
      </w:pPr>
    </w:p>
    <w:p w:rsidR="00071D62" w:rsidRDefault="00071D62" w:rsidP="00972688">
      <w:pPr>
        <w:ind w:left="360"/>
        <w:jc w:val="left"/>
        <w:rPr>
          <w:rFonts w:ascii="Arial" w:hAnsi="Arial" w:cs="Arial"/>
          <w:i/>
          <w:iCs/>
          <w:sz w:val="20"/>
          <w:szCs w:val="20"/>
        </w:rPr>
      </w:pPr>
    </w:p>
    <w:p w:rsidR="00071D62" w:rsidRDefault="00071D62" w:rsidP="00972688">
      <w:pPr>
        <w:ind w:left="360"/>
        <w:jc w:val="left"/>
        <w:rPr>
          <w:rFonts w:ascii="Arial" w:hAnsi="Arial" w:cs="Arial"/>
          <w:i/>
          <w:iCs/>
          <w:sz w:val="20"/>
          <w:szCs w:val="20"/>
        </w:rPr>
      </w:pPr>
    </w:p>
    <w:p w:rsidR="00071D62" w:rsidRDefault="00071D62" w:rsidP="00972688">
      <w:pPr>
        <w:ind w:left="360"/>
        <w:jc w:val="left"/>
        <w:rPr>
          <w:rFonts w:ascii="Arial" w:hAnsi="Arial" w:cs="Arial"/>
          <w:i/>
          <w:iCs/>
          <w:sz w:val="20"/>
          <w:szCs w:val="20"/>
        </w:rPr>
      </w:pPr>
    </w:p>
    <w:p w:rsidR="00071D62" w:rsidRDefault="00071D62" w:rsidP="00972688">
      <w:pPr>
        <w:ind w:left="360"/>
        <w:jc w:val="left"/>
        <w:rPr>
          <w:rFonts w:ascii="Arial" w:hAnsi="Arial" w:cs="Arial"/>
          <w:i/>
          <w:iCs/>
          <w:sz w:val="20"/>
          <w:szCs w:val="20"/>
        </w:rPr>
      </w:pPr>
    </w:p>
    <w:p w:rsidR="00071D62" w:rsidRDefault="00071D62" w:rsidP="00972688">
      <w:pPr>
        <w:ind w:left="360"/>
        <w:jc w:val="left"/>
        <w:rPr>
          <w:rFonts w:ascii="Arial" w:hAnsi="Arial" w:cs="Arial"/>
          <w:i/>
          <w:iCs/>
          <w:sz w:val="20"/>
          <w:szCs w:val="20"/>
        </w:rPr>
      </w:pPr>
    </w:p>
    <w:p w:rsidR="00071D62" w:rsidRPr="001F052B" w:rsidRDefault="00071D62" w:rsidP="00972688">
      <w:pPr>
        <w:jc w:val="left"/>
        <w:rPr>
          <w:rFonts w:ascii="Arial" w:hAnsi="Arial" w:cs="Arial"/>
          <w:i/>
          <w:iCs/>
          <w:sz w:val="18"/>
          <w:szCs w:val="18"/>
        </w:rPr>
      </w:pPr>
    </w:p>
    <w:p w:rsidR="00071D62" w:rsidRDefault="00071D62">
      <w:pPr>
        <w:numPr>
          <w:ilvl w:val="0"/>
          <w:numId w:val="15"/>
        </w:numPr>
        <w:rPr>
          <w:rFonts w:ascii="Arial" w:hAnsi="Arial" w:cs="Arial"/>
          <w:b/>
          <w:bCs/>
          <w:sz w:val="24"/>
          <w:szCs w:val="24"/>
        </w:rPr>
      </w:pPr>
      <w:r w:rsidRPr="009C4C53">
        <w:rPr>
          <w:rFonts w:ascii="Arial" w:hAnsi="Arial" w:cs="Arial"/>
          <w:b/>
          <w:bCs/>
          <w:sz w:val="24"/>
          <w:szCs w:val="24"/>
        </w:rPr>
        <w:t>Rolling out in Eastern Europe</w:t>
      </w:r>
    </w:p>
    <w:p w:rsidR="00071D62" w:rsidRPr="001A7C96" w:rsidRDefault="00071D62" w:rsidP="00972688">
      <w:pPr>
        <w:ind w:left="720"/>
        <w:jc w:val="left"/>
        <w:rPr>
          <w:rFonts w:ascii="Arial" w:hAnsi="Arial" w:cs="Arial"/>
          <w:sz w:val="24"/>
          <w:szCs w:val="24"/>
          <w:highlight w:val="yellow"/>
        </w:rPr>
      </w:pPr>
    </w:p>
    <w:p w:rsidR="00071D62" w:rsidRPr="0054503F" w:rsidRDefault="00071D62" w:rsidP="00972688">
      <w:pPr>
        <w:ind w:firstLine="720"/>
        <w:rPr>
          <w:rFonts w:ascii="Arial" w:hAnsi="Arial" w:cs="Arial"/>
          <w:b/>
          <w:bCs/>
          <w:i/>
          <w:iCs/>
          <w:sz w:val="24"/>
          <w:szCs w:val="24"/>
        </w:rPr>
      </w:pPr>
      <w:r>
        <w:rPr>
          <w:rFonts w:ascii="Arial" w:hAnsi="Arial" w:cs="Arial"/>
          <w:b/>
          <w:bCs/>
          <w:i/>
          <w:iCs/>
          <w:sz w:val="24"/>
          <w:szCs w:val="24"/>
        </w:rPr>
        <w:t>6% space added since last year end. Double-digit profit and sales growth.</w:t>
      </w:r>
    </w:p>
    <w:p w:rsidR="00071D62" w:rsidRDefault="00071D62" w:rsidP="00972688">
      <w:pPr>
        <w:ind w:left="720"/>
        <w:jc w:val="left"/>
        <w:rPr>
          <w:rFonts w:ascii="Arial" w:hAnsi="Arial" w:cs="Arial"/>
          <w:sz w:val="24"/>
          <w:szCs w:val="24"/>
        </w:rPr>
      </w:pPr>
    </w:p>
    <w:p w:rsidR="00071D62" w:rsidRDefault="00071D62" w:rsidP="00972688">
      <w:pPr>
        <w:jc w:val="left"/>
        <w:rPr>
          <w:rFonts w:ascii="Arial" w:hAnsi="Arial" w:cs="Arial"/>
          <w:b/>
          <w:bCs/>
          <w:sz w:val="24"/>
          <w:szCs w:val="24"/>
        </w:rPr>
      </w:pPr>
      <w:r>
        <w:rPr>
          <w:rFonts w:ascii="Arial" w:hAnsi="Arial" w:cs="Arial"/>
          <w:sz w:val="24"/>
          <w:szCs w:val="24"/>
        </w:rPr>
        <w:tab/>
      </w:r>
      <w:r>
        <w:rPr>
          <w:rFonts w:ascii="Arial" w:hAnsi="Arial" w:cs="Arial"/>
          <w:b/>
          <w:bCs/>
          <w:sz w:val="24"/>
          <w:szCs w:val="24"/>
        </w:rPr>
        <w:t>2011/12 first half progress</w:t>
      </w:r>
    </w:p>
    <w:p w:rsidR="00071D62" w:rsidRPr="00895A8A" w:rsidRDefault="00071D62" w:rsidP="00972688">
      <w:pPr>
        <w:ind w:left="720"/>
        <w:jc w:val="left"/>
        <w:rPr>
          <w:rFonts w:ascii="Arial" w:hAnsi="Arial" w:cs="Arial"/>
          <w:sz w:val="24"/>
          <w:szCs w:val="24"/>
        </w:rPr>
      </w:pPr>
    </w:p>
    <w:p w:rsidR="00071D62" w:rsidRPr="00895A8A" w:rsidRDefault="00071D62" w:rsidP="00972688">
      <w:pPr>
        <w:numPr>
          <w:ilvl w:val="0"/>
          <w:numId w:val="5"/>
        </w:numPr>
        <w:jc w:val="left"/>
        <w:rPr>
          <w:rFonts w:ascii="Arial" w:hAnsi="Arial" w:cs="Arial"/>
          <w:sz w:val="24"/>
          <w:szCs w:val="24"/>
        </w:rPr>
      </w:pPr>
      <w:r w:rsidRPr="00895A8A">
        <w:rPr>
          <w:rFonts w:ascii="Arial" w:hAnsi="Arial" w:cs="Arial"/>
          <w:sz w:val="24"/>
          <w:szCs w:val="24"/>
        </w:rPr>
        <w:t>Open</w:t>
      </w:r>
      <w:r>
        <w:rPr>
          <w:rFonts w:ascii="Arial" w:hAnsi="Arial" w:cs="Arial"/>
          <w:sz w:val="24"/>
          <w:szCs w:val="24"/>
        </w:rPr>
        <w:t>ed</w:t>
      </w:r>
      <w:r w:rsidRPr="00895A8A">
        <w:rPr>
          <w:rFonts w:ascii="Arial" w:hAnsi="Arial" w:cs="Arial"/>
          <w:sz w:val="24"/>
          <w:szCs w:val="24"/>
        </w:rPr>
        <w:t xml:space="preserve"> </w:t>
      </w:r>
      <w:r>
        <w:rPr>
          <w:rFonts w:ascii="Arial" w:hAnsi="Arial" w:cs="Arial"/>
          <w:sz w:val="24"/>
          <w:szCs w:val="24"/>
        </w:rPr>
        <w:t>6</w:t>
      </w:r>
      <w:r w:rsidRPr="00895A8A">
        <w:rPr>
          <w:rFonts w:ascii="Arial" w:hAnsi="Arial" w:cs="Arial"/>
          <w:sz w:val="24"/>
          <w:szCs w:val="24"/>
        </w:rPr>
        <w:t xml:space="preserve"> new stores, </w:t>
      </w:r>
      <w:r>
        <w:rPr>
          <w:rFonts w:ascii="Arial" w:hAnsi="Arial" w:cs="Arial"/>
          <w:sz w:val="24"/>
          <w:szCs w:val="24"/>
        </w:rPr>
        <w:t>2</w:t>
      </w:r>
      <w:r w:rsidRPr="00895A8A">
        <w:rPr>
          <w:rFonts w:ascii="Arial" w:hAnsi="Arial" w:cs="Arial"/>
          <w:sz w:val="24"/>
          <w:szCs w:val="24"/>
        </w:rPr>
        <w:t xml:space="preserve"> in Poland, </w:t>
      </w:r>
      <w:r>
        <w:rPr>
          <w:rFonts w:ascii="Arial" w:hAnsi="Arial" w:cs="Arial"/>
          <w:sz w:val="24"/>
          <w:szCs w:val="24"/>
        </w:rPr>
        <w:t>2</w:t>
      </w:r>
      <w:r w:rsidRPr="00895A8A">
        <w:rPr>
          <w:rFonts w:ascii="Arial" w:hAnsi="Arial" w:cs="Arial"/>
          <w:sz w:val="24"/>
          <w:szCs w:val="24"/>
        </w:rPr>
        <w:t xml:space="preserve"> in Russia</w:t>
      </w:r>
      <w:r>
        <w:rPr>
          <w:rFonts w:ascii="Arial" w:hAnsi="Arial" w:cs="Arial"/>
          <w:sz w:val="24"/>
          <w:szCs w:val="24"/>
        </w:rPr>
        <w:t xml:space="preserve"> and 2 in Turkey</w:t>
      </w:r>
    </w:p>
    <w:p w:rsidR="00071D62" w:rsidRDefault="00071D62" w:rsidP="00972688">
      <w:pPr>
        <w:numPr>
          <w:ilvl w:val="0"/>
          <w:numId w:val="5"/>
        </w:numPr>
        <w:jc w:val="left"/>
        <w:rPr>
          <w:rFonts w:ascii="Arial" w:hAnsi="Arial" w:cs="Arial"/>
          <w:sz w:val="24"/>
          <w:szCs w:val="24"/>
        </w:rPr>
      </w:pPr>
      <w:r>
        <w:rPr>
          <w:rFonts w:ascii="Arial" w:hAnsi="Arial" w:cs="Arial"/>
          <w:sz w:val="24"/>
          <w:szCs w:val="24"/>
        </w:rPr>
        <w:t xml:space="preserve">Direct sourcing shipments in Poland and </w:t>
      </w:r>
      <w:r w:rsidRPr="00F05D30">
        <w:rPr>
          <w:rFonts w:ascii="Arial" w:hAnsi="Arial" w:cs="Arial"/>
          <w:sz w:val="24"/>
          <w:szCs w:val="24"/>
        </w:rPr>
        <w:t xml:space="preserve">Turkey </w:t>
      </w:r>
      <w:r>
        <w:rPr>
          <w:rFonts w:ascii="Arial" w:hAnsi="Arial" w:cs="Arial"/>
          <w:sz w:val="24"/>
          <w:szCs w:val="24"/>
        </w:rPr>
        <w:t>ahead of full year target (to increase by over 50%), benefiting gross margin</w:t>
      </w:r>
    </w:p>
    <w:p w:rsidR="00071D62" w:rsidRPr="005E6A21" w:rsidRDefault="00071D62" w:rsidP="00972688">
      <w:pPr>
        <w:numPr>
          <w:ilvl w:val="0"/>
          <w:numId w:val="5"/>
        </w:numPr>
        <w:jc w:val="left"/>
        <w:rPr>
          <w:rFonts w:ascii="Arial" w:hAnsi="Arial" w:cs="Arial"/>
          <w:sz w:val="24"/>
          <w:szCs w:val="24"/>
        </w:rPr>
      </w:pPr>
      <w:r>
        <w:rPr>
          <w:rFonts w:ascii="Arial" w:hAnsi="Arial" w:cs="Arial"/>
          <w:sz w:val="24"/>
          <w:szCs w:val="24"/>
        </w:rPr>
        <w:t>Opened ‘</w:t>
      </w:r>
      <w:r w:rsidRPr="005E6A21">
        <w:rPr>
          <w:rFonts w:ascii="Arial" w:hAnsi="Arial" w:cs="Arial"/>
          <w:sz w:val="24"/>
          <w:szCs w:val="24"/>
        </w:rPr>
        <w:t>city</w:t>
      </w:r>
      <w:r>
        <w:rPr>
          <w:rFonts w:ascii="Arial" w:hAnsi="Arial" w:cs="Arial"/>
          <w:sz w:val="24"/>
          <w:szCs w:val="24"/>
        </w:rPr>
        <w:t xml:space="preserve"> store’ format in Moscow (housing 90% of current product ranges in 65% of the space)</w:t>
      </w:r>
    </w:p>
    <w:p w:rsidR="00071D62" w:rsidRDefault="00071D62" w:rsidP="00972688">
      <w:pPr>
        <w:ind w:left="720"/>
        <w:jc w:val="left"/>
        <w:rPr>
          <w:rFonts w:ascii="Arial" w:hAnsi="Arial" w:cs="Arial"/>
          <w:sz w:val="24"/>
          <w:szCs w:val="24"/>
        </w:rPr>
      </w:pPr>
    </w:p>
    <w:p w:rsidR="00071D62" w:rsidRPr="00C20122" w:rsidRDefault="00071D62" w:rsidP="00972688">
      <w:pPr>
        <w:ind w:firstLine="720"/>
        <w:jc w:val="left"/>
        <w:rPr>
          <w:rFonts w:ascii="Arial" w:hAnsi="Arial" w:cs="Arial"/>
          <w:b/>
          <w:bCs/>
          <w:sz w:val="24"/>
          <w:szCs w:val="24"/>
        </w:rPr>
      </w:pPr>
      <w:r>
        <w:rPr>
          <w:rFonts w:ascii="Arial" w:hAnsi="Arial" w:cs="Arial"/>
          <w:b/>
          <w:bCs/>
          <w:sz w:val="24"/>
          <w:szCs w:val="24"/>
        </w:rPr>
        <w:t>2011/12</w:t>
      </w:r>
      <w:r w:rsidRPr="00C20122">
        <w:rPr>
          <w:rFonts w:ascii="Arial" w:hAnsi="Arial" w:cs="Arial"/>
          <w:b/>
          <w:bCs/>
          <w:sz w:val="24"/>
          <w:szCs w:val="24"/>
        </w:rPr>
        <w:t xml:space="preserve"> </w:t>
      </w:r>
      <w:r>
        <w:rPr>
          <w:rFonts w:ascii="Arial" w:hAnsi="Arial" w:cs="Arial"/>
          <w:b/>
          <w:bCs/>
          <w:sz w:val="24"/>
          <w:szCs w:val="24"/>
        </w:rPr>
        <w:t xml:space="preserve">second half </w:t>
      </w:r>
      <w:r w:rsidRPr="00C20122">
        <w:rPr>
          <w:rFonts w:ascii="Arial" w:hAnsi="Arial" w:cs="Arial"/>
          <w:b/>
          <w:bCs/>
          <w:sz w:val="24"/>
          <w:szCs w:val="24"/>
        </w:rPr>
        <w:t>milestones</w:t>
      </w:r>
    </w:p>
    <w:p w:rsidR="00071D62" w:rsidRPr="00895A8A" w:rsidRDefault="00071D62" w:rsidP="00972688">
      <w:pPr>
        <w:ind w:firstLine="720"/>
        <w:jc w:val="left"/>
        <w:rPr>
          <w:rFonts w:ascii="Arial" w:hAnsi="Arial" w:cs="Arial"/>
          <w:sz w:val="24"/>
          <w:szCs w:val="24"/>
        </w:rPr>
      </w:pPr>
    </w:p>
    <w:p w:rsidR="00071D62" w:rsidRDefault="00071D62" w:rsidP="00972688">
      <w:pPr>
        <w:numPr>
          <w:ilvl w:val="0"/>
          <w:numId w:val="5"/>
        </w:numPr>
        <w:jc w:val="left"/>
        <w:rPr>
          <w:rFonts w:ascii="Arial" w:hAnsi="Arial" w:cs="Arial"/>
          <w:sz w:val="24"/>
          <w:szCs w:val="24"/>
        </w:rPr>
      </w:pPr>
      <w:r w:rsidRPr="00895A8A">
        <w:rPr>
          <w:rFonts w:ascii="Arial" w:hAnsi="Arial" w:cs="Arial"/>
          <w:sz w:val="24"/>
          <w:szCs w:val="24"/>
        </w:rPr>
        <w:t xml:space="preserve">Open a further </w:t>
      </w:r>
      <w:r>
        <w:rPr>
          <w:rFonts w:ascii="Arial" w:hAnsi="Arial" w:cs="Arial"/>
          <w:sz w:val="24"/>
          <w:szCs w:val="24"/>
        </w:rPr>
        <w:t>10</w:t>
      </w:r>
      <w:r w:rsidRPr="00895A8A">
        <w:rPr>
          <w:rFonts w:ascii="Arial" w:hAnsi="Arial" w:cs="Arial"/>
          <w:sz w:val="24"/>
          <w:szCs w:val="24"/>
        </w:rPr>
        <w:t xml:space="preserve"> new stores, </w:t>
      </w:r>
      <w:r>
        <w:rPr>
          <w:rFonts w:ascii="Arial" w:hAnsi="Arial" w:cs="Arial"/>
          <w:sz w:val="24"/>
          <w:szCs w:val="24"/>
        </w:rPr>
        <w:t>4</w:t>
      </w:r>
      <w:r w:rsidRPr="00895A8A">
        <w:rPr>
          <w:rFonts w:ascii="Arial" w:hAnsi="Arial" w:cs="Arial"/>
          <w:sz w:val="24"/>
          <w:szCs w:val="24"/>
        </w:rPr>
        <w:t xml:space="preserve"> in Poland, </w:t>
      </w:r>
      <w:r>
        <w:rPr>
          <w:rFonts w:ascii="Arial" w:hAnsi="Arial" w:cs="Arial"/>
          <w:sz w:val="24"/>
          <w:szCs w:val="24"/>
        </w:rPr>
        <w:t>2 in Russia and 4</w:t>
      </w:r>
      <w:r w:rsidRPr="00895A8A">
        <w:rPr>
          <w:rFonts w:ascii="Arial" w:hAnsi="Arial" w:cs="Arial"/>
          <w:sz w:val="24"/>
          <w:szCs w:val="24"/>
        </w:rPr>
        <w:t xml:space="preserve"> in Turkey</w:t>
      </w:r>
      <w:r>
        <w:rPr>
          <w:rFonts w:ascii="Arial" w:hAnsi="Arial" w:cs="Arial"/>
          <w:sz w:val="24"/>
          <w:szCs w:val="24"/>
        </w:rPr>
        <w:t>, adding around 17% new space</w:t>
      </w:r>
      <w:r w:rsidRPr="00895A8A">
        <w:rPr>
          <w:rFonts w:ascii="Arial" w:hAnsi="Arial" w:cs="Arial"/>
          <w:sz w:val="24"/>
          <w:szCs w:val="24"/>
        </w:rPr>
        <w:t xml:space="preserve"> </w:t>
      </w:r>
      <w:r>
        <w:rPr>
          <w:rFonts w:ascii="Arial" w:hAnsi="Arial" w:cs="Arial"/>
          <w:sz w:val="24"/>
          <w:szCs w:val="24"/>
        </w:rPr>
        <w:t>for the full year</w:t>
      </w:r>
    </w:p>
    <w:p w:rsidR="00071D62" w:rsidRDefault="00071D62" w:rsidP="00972688">
      <w:pPr>
        <w:numPr>
          <w:ilvl w:val="0"/>
          <w:numId w:val="5"/>
        </w:numPr>
        <w:jc w:val="left"/>
        <w:rPr>
          <w:rFonts w:ascii="Arial" w:hAnsi="Arial" w:cs="Arial"/>
          <w:sz w:val="24"/>
          <w:szCs w:val="24"/>
        </w:rPr>
      </w:pPr>
      <w:r>
        <w:rPr>
          <w:rFonts w:ascii="Arial" w:hAnsi="Arial" w:cs="Arial"/>
          <w:sz w:val="24"/>
          <w:szCs w:val="24"/>
        </w:rPr>
        <w:t xml:space="preserve">Direct sourcing shipments in Poland and </w:t>
      </w:r>
      <w:r w:rsidRPr="00F05D30">
        <w:rPr>
          <w:rFonts w:ascii="Arial" w:hAnsi="Arial" w:cs="Arial"/>
          <w:sz w:val="24"/>
          <w:szCs w:val="24"/>
        </w:rPr>
        <w:t xml:space="preserve">Turkey </w:t>
      </w:r>
      <w:r>
        <w:rPr>
          <w:rFonts w:ascii="Arial" w:hAnsi="Arial" w:cs="Arial"/>
          <w:sz w:val="24"/>
          <w:szCs w:val="24"/>
        </w:rPr>
        <w:t>to continue to grow ahead of target</w:t>
      </w:r>
    </w:p>
    <w:p w:rsidR="00071D62" w:rsidRDefault="00071D62" w:rsidP="00972688">
      <w:pPr>
        <w:jc w:val="left"/>
        <w:rPr>
          <w:rFonts w:ascii="Arial" w:hAnsi="Arial" w:cs="Arial"/>
          <w:sz w:val="24"/>
          <w:szCs w:val="24"/>
        </w:rPr>
      </w:pPr>
    </w:p>
    <w:p w:rsidR="00071D62" w:rsidRDefault="00071D62" w:rsidP="00972688">
      <w:pPr>
        <w:jc w:val="left"/>
        <w:rPr>
          <w:rFonts w:ascii="Arial" w:hAnsi="Arial" w:cs="Arial"/>
          <w:sz w:val="24"/>
          <w:szCs w:val="24"/>
        </w:rPr>
      </w:pPr>
    </w:p>
    <w:p w:rsidR="00071D62" w:rsidRPr="00895A8A" w:rsidRDefault="00071D62" w:rsidP="00972688">
      <w:pPr>
        <w:numPr>
          <w:ilvl w:val="0"/>
          <w:numId w:val="15"/>
        </w:numPr>
        <w:rPr>
          <w:rFonts w:ascii="Arial" w:hAnsi="Arial" w:cs="Arial"/>
          <w:sz w:val="24"/>
          <w:szCs w:val="24"/>
        </w:rPr>
      </w:pPr>
      <w:r w:rsidRPr="00895A8A">
        <w:rPr>
          <w:rFonts w:ascii="Arial" w:hAnsi="Arial" w:cs="Arial"/>
          <w:b/>
          <w:bCs/>
          <w:sz w:val="24"/>
          <w:szCs w:val="24"/>
        </w:rPr>
        <w:t>Turning around B&amp;Q China</w:t>
      </w:r>
    </w:p>
    <w:p w:rsidR="00071D62" w:rsidRPr="001A7C96" w:rsidRDefault="00071D62" w:rsidP="00972688">
      <w:pPr>
        <w:jc w:val="left"/>
        <w:rPr>
          <w:rFonts w:ascii="Arial" w:hAnsi="Arial" w:cs="Arial"/>
          <w:sz w:val="24"/>
          <w:szCs w:val="24"/>
          <w:highlight w:val="yellow"/>
        </w:rPr>
      </w:pPr>
    </w:p>
    <w:p w:rsidR="00071D62" w:rsidRDefault="00071D62" w:rsidP="00972688">
      <w:pPr>
        <w:ind w:left="720"/>
        <w:jc w:val="left"/>
        <w:rPr>
          <w:rFonts w:ascii="Arial" w:hAnsi="Arial" w:cs="Arial"/>
          <w:b/>
          <w:bCs/>
          <w:i/>
          <w:iCs/>
          <w:sz w:val="24"/>
          <w:szCs w:val="24"/>
        </w:rPr>
      </w:pPr>
      <w:r w:rsidRPr="0054503F">
        <w:rPr>
          <w:rFonts w:ascii="Arial" w:hAnsi="Arial" w:cs="Arial"/>
          <w:b/>
          <w:bCs/>
          <w:i/>
          <w:iCs/>
          <w:sz w:val="24"/>
          <w:szCs w:val="24"/>
        </w:rPr>
        <w:t xml:space="preserve">Repositioning plan </w:t>
      </w:r>
      <w:r>
        <w:rPr>
          <w:rFonts w:ascii="Arial" w:hAnsi="Arial" w:cs="Arial"/>
          <w:b/>
          <w:bCs/>
          <w:i/>
          <w:iCs/>
          <w:sz w:val="24"/>
          <w:szCs w:val="24"/>
        </w:rPr>
        <w:t xml:space="preserve">remains </w:t>
      </w:r>
      <w:r w:rsidRPr="0054503F">
        <w:rPr>
          <w:rFonts w:ascii="Arial" w:hAnsi="Arial" w:cs="Arial"/>
          <w:b/>
          <w:bCs/>
          <w:i/>
          <w:iCs/>
          <w:sz w:val="24"/>
          <w:szCs w:val="24"/>
        </w:rPr>
        <w:t>on track</w:t>
      </w:r>
      <w:r>
        <w:rPr>
          <w:rFonts w:ascii="Arial" w:hAnsi="Arial" w:cs="Arial"/>
          <w:b/>
          <w:bCs/>
          <w:i/>
          <w:iCs/>
          <w:sz w:val="24"/>
          <w:szCs w:val="24"/>
        </w:rPr>
        <w:t>.</w:t>
      </w:r>
    </w:p>
    <w:p w:rsidR="00071D62" w:rsidRPr="0054503F" w:rsidRDefault="00071D62" w:rsidP="00972688">
      <w:pPr>
        <w:ind w:left="720"/>
        <w:jc w:val="left"/>
        <w:rPr>
          <w:rFonts w:ascii="Arial" w:hAnsi="Arial" w:cs="Arial"/>
          <w:b/>
          <w:bCs/>
          <w:i/>
          <w:iCs/>
          <w:sz w:val="20"/>
          <w:szCs w:val="20"/>
        </w:rPr>
      </w:pPr>
    </w:p>
    <w:p w:rsidR="00071D62" w:rsidRDefault="00071D62" w:rsidP="00972688">
      <w:pPr>
        <w:ind w:firstLine="720"/>
        <w:jc w:val="left"/>
        <w:rPr>
          <w:rFonts w:ascii="Arial" w:hAnsi="Arial" w:cs="Arial"/>
          <w:b/>
          <w:bCs/>
          <w:sz w:val="24"/>
          <w:szCs w:val="24"/>
        </w:rPr>
      </w:pPr>
      <w:r>
        <w:rPr>
          <w:rFonts w:ascii="Arial" w:hAnsi="Arial" w:cs="Arial"/>
          <w:b/>
          <w:bCs/>
          <w:sz w:val="24"/>
          <w:szCs w:val="24"/>
        </w:rPr>
        <w:t>2011/12 first half progress</w:t>
      </w:r>
    </w:p>
    <w:p w:rsidR="00071D62" w:rsidRPr="005D696F" w:rsidRDefault="00071D62" w:rsidP="00972688">
      <w:pPr>
        <w:jc w:val="left"/>
        <w:rPr>
          <w:rFonts w:ascii="Arial" w:hAnsi="Arial" w:cs="Arial"/>
          <w:b/>
          <w:bCs/>
          <w:sz w:val="24"/>
          <w:szCs w:val="24"/>
        </w:rPr>
      </w:pPr>
    </w:p>
    <w:p w:rsidR="00071D62" w:rsidRDefault="00071D62" w:rsidP="00972688">
      <w:pPr>
        <w:numPr>
          <w:ilvl w:val="0"/>
          <w:numId w:val="5"/>
        </w:numPr>
        <w:jc w:val="left"/>
        <w:rPr>
          <w:rFonts w:ascii="Arial" w:hAnsi="Arial" w:cs="Arial"/>
          <w:sz w:val="24"/>
          <w:szCs w:val="24"/>
        </w:rPr>
      </w:pPr>
      <w:r>
        <w:rPr>
          <w:rFonts w:ascii="Arial" w:hAnsi="Arial" w:cs="Arial"/>
          <w:sz w:val="24"/>
          <w:szCs w:val="24"/>
        </w:rPr>
        <w:t>Prior year first half losses more than halved</w:t>
      </w:r>
    </w:p>
    <w:p w:rsidR="00071D62" w:rsidRDefault="00071D62" w:rsidP="00972688">
      <w:pPr>
        <w:numPr>
          <w:ilvl w:val="0"/>
          <w:numId w:val="5"/>
        </w:numPr>
        <w:jc w:val="left"/>
        <w:rPr>
          <w:rFonts w:ascii="Arial" w:hAnsi="Arial" w:cs="Arial"/>
          <w:sz w:val="24"/>
          <w:szCs w:val="24"/>
        </w:rPr>
      </w:pPr>
      <w:r>
        <w:rPr>
          <w:rFonts w:ascii="Arial" w:hAnsi="Arial" w:cs="Arial"/>
          <w:sz w:val="24"/>
          <w:szCs w:val="24"/>
        </w:rPr>
        <w:t>Continued the new format trial and introduction of new ranges</w:t>
      </w:r>
    </w:p>
    <w:p w:rsidR="00071D62" w:rsidRPr="00C52F33" w:rsidRDefault="00071D62" w:rsidP="00972688">
      <w:pPr>
        <w:numPr>
          <w:ilvl w:val="0"/>
          <w:numId w:val="5"/>
        </w:numPr>
        <w:jc w:val="left"/>
        <w:rPr>
          <w:rFonts w:ascii="Arial" w:hAnsi="Arial" w:cs="Arial"/>
          <w:sz w:val="24"/>
          <w:szCs w:val="24"/>
        </w:rPr>
      </w:pPr>
      <w:r>
        <w:rPr>
          <w:rFonts w:ascii="Arial" w:hAnsi="Arial" w:cs="Arial"/>
          <w:sz w:val="24"/>
          <w:szCs w:val="24"/>
        </w:rPr>
        <w:t>Direct sourced group own brands up over 50% on last year, still at early stages</w:t>
      </w:r>
    </w:p>
    <w:p w:rsidR="00071D62" w:rsidRDefault="00071D62" w:rsidP="00972688">
      <w:pPr>
        <w:ind w:left="360"/>
        <w:jc w:val="left"/>
        <w:rPr>
          <w:rFonts w:ascii="Arial" w:hAnsi="Arial" w:cs="Arial"/>
          <w:sz w:val="24"/>
          <w:szCs w:val="24"/>
        </w:rPr>
      </w:pPr>
    </w:p>
    <w:p w:rsidR="00071D62" w:rsidRPr="00C20122" w:rsidRDefault="00071D62" w:rsidP="00972688">
      <w:pPr>
        <w:ind w:firstLine="720"/>
        <w:jc w:val="left"/>
        <w:rPr>
          <w:rFonts w:ascii="Arial" w:hAnsi="Arial" w:cs="Arial"/>
          <w:b/>
          <w:bCs/>
          <w:sz w:val="24"/>
          <w:szCs w:val="24"/>
        </w:rPr>
      </w:pPr>
      <w:r>
        <w:rPr>
          <w:rFonts w:ascii="Arial" w:hAnsi="Arial" w:cs="Arial"/>
          <w:b/>
          <w:bCs/>
          <w:sz w:val="24"/>
          <w:szCs w:val="24"/>
        </w:rPr>
        <w:t>2011/12</w:t>
      </w:r>
      <w:r w:rsidRPr="00C20122">
        <w:rPr>
          <w:rFonts w:ascii="Arial" w:hAnsi="Arial" w:cs="Arial"/>
          <w:b/>
          <w:bCs/>
          <w:sz w:val="24"/>
          <w:szCs w:val="24"/>
        </w:rPr>
        <w:t xml:space="preserve"> </w:t>
      </w:r>
      <w:r>
        <w:rPr>
          <w:rFonts w:ascii="Arial" w:hAnsi="Arial" w:cs="Arial"/>
          <w:b/>
          <w:bCs/>
          <w:sz w:val="24"/>
          <w:szCs w:val="24"/>
        </w:rPr>
        <w:t xml:space="preserve">second half </w:t>
      </w:r>
      <w:r w:rsidRPr="00C20122">
        <w:rPr>
          <w:rFonts w:ascii="Arial" w:hAnsi="Arial" w:cs="Arial"/>
          <w:b/>
          <w:bCs/>
          <w:sz w:val="24"/>
          <w:szCs w:val="24"/>
        </w:rPr>
        <w:t>milestones</w:t>
      </w:r>
    </w:p>
    <w:p w:rsidR="00071D62" w:rsidRPr="003B0C14" w:rsidRDefault="00071D62" w:rsidP="00972688">
      <w:pPr>
        <w:ind w:left="720"/>
        <w:jc w:val="left"/>
        <w:rPr>
          <w:rFonts w:ascii="Arial" w:hAnsi="Arial" w:cs="Arial"/>
          <w:sz w:val="24"/>
          <w:szCs w:val="24"/>
        </w:rPr>
      </w:pPr>
    </w:p>
    <w:p w:rsidR="00071D62" w:rsidRDefault="00071D62" w:rsidP="00972688">
      <w:pPr>
        <w:numPr>
          <w:ilvl w:val="0"/>
          <w:numId w:val="5"/>
        </w:numPr>
        <w:jc w:val="left"/>
        <w:rPr>
          <w:rFonts w:ascii="Arial" w:hAnsi="Arial" w:cs="Arial"/>
          <w:sz w:val="24"/>
          <w:szCs w:val="24"/>
        </w:rPr>
      </w:pPr>
      <w:r>
        <w:rPr>
          <w:rFonts w:ascii="Arial" w:hAnsi="Arial" w:cs="Arial"/>
          <w:sz w:val="24"/>
          <w:szCs w:val="24"/>
        </w:rPr>
        <w:t>Continue the new format trial</w:t>
      </w:r>
    </w:p>
    <w:p w:rsidR="00071D62" w:rsidRPr="00C52F33" w:rsidRDefault="00071D62" w:rsidP="00972688">
      <w:pPr>
        <w:numPr>
          <w:ilvl w:val="0"/>
          <w:numId w:val="5"/>
        </w:numPr>
        <w:jc w:val="left"/>
        <w:rPr>
          <w:rFonts w:ascii="Arial" w:hAnsi="Arial" w:cs="Arial"/>
          <w:sz w:val="24"/>
          <w:szCs w:val="24"/>
        </w:rPr>
      </w:pPr>
      <w:r>
        <w:rPr>
          <w:rFonts w:ascii="Arial" w:hAnsi="Arial" w:cs="Arial"/>
          <w:sz w:val="24"/>
          <w:szCs w:val="24"/>
        </w:rPr>
        <w:t>Continue the work on re-engineering ranges including more direct sourced group own brands</w:t>
      </w:r>
    </w:p>
    <w:p w:rsidR="00071D62" w:rsidRPr="00D04FDA" w:rsidRDefault="00071D62" w:rsidP="00972688">
      <w:pPr>
        <w:numPr>
          <w:ilvl w:val="0"/>
          <w:numId w:val="5"/>
        </w:numPr>
        <w:jc w:val="left"/>
        <w:rPr>
          <w:rFonts w:ascii="Arial" w:hAnsi="Arial" w:cs="Arial"/>
          <w:sz w:val="24"/>
          <w:szCs w:val="24"/>
        </w:rPr>
      </w:pPr>
      <w:r>
        <w:rPr>
          <w:rFonts w:ascii="Arial" w:hAnsi="Arial" w:cs="Arial"/>
          <w:sz w:val="24"/>
          <w:szCs w:val="24"/>
        </w:rPr>
        <w:t>Full year break-even target, subject to a stable Chinese home improvement market</w:t>
      </w:r>
    </w:p>
    <w:p w:rsidR="00071D62" w:rsidRDefault="00071D62" w:rsidP="00972688">
      <w:pPr>
        <w:jc w:val="left"/>
        <w:rPr>
          <w:rFonts w:ascii="Arial" w:hAnsi="Arial" w:cs="Arial"/>
          <w:sz w:val="24"/>
          <w:szCs w:val="24"/>
        </w:rPr>
      </w:pPr>
    </w:p>
    <w:p w:rsidR="00071D62" w:rsidRPr="00754A07" w:rsidRDefault="00071D62" w:rsidP="00972688">
      <w:pPr>
        <w:jc w:val="left"/>
        <w:rPr>
          <w:rFonts w:ascii="Arial" w:hAnsi="Arial" w:cs="Arial"/>
          <w:i/>
          <w:iCs/>
          <w:sz w:val="20"/>
          <w:szCs w:val="20"/>
        </w:rPr>
      </w:pPr>
    </w:p>
    <w:p w:rsidR="00071D62" w:rsidRPr="00680D0E" w:rsidRDefault="00071D62" w:rsidP="00972688">
      <w:pPr>
        <w:numPr>
          <w:ilvl w:val="0"/>
          <w:numId w:val="15"/>
        </w:numPr>
        <w:rPr>
          <w:rFonts w:ascii="Arial" w:hAnsi="Arial" w:cs="Arial"/>
          <w:b/>
          <w:bCs/>
          <w:sz w:val="24"/>
          <w:szCs w:val="24"/>
        </w:rPr>
      </w:pPr>
      <w:r w:rsidRPr="00680D0E">
        <w:rPr>
          <w:rFonts w:ascii="Arial" w:hAnsi="Arial" w:cs="Arial"/>
          <w:b/>
          <w:bCs/>
          <w:sz w:val="24"/>
          <w:szCs w:val="24"/>
        </w:rPr>
        <w:t>Growing Group sourcing</w:t>
      </w:r>
    </w:p>
    <w:p w:rsidR="00071D62" w:rsidRPr="00680D0E" w:rsidRDefault="00071D62" w:rsidP="00972688">
      <w:pPr>
        <w:ind w:left="720"/>
        <w:jc w:val="left"/>
        <w:rPr>
          <w:rFonts w:ascii="Arial" w:hAnsi="Arial" w:cs="Arial"/>
          <w:sz w:val="24"/>
          <w:szCs w:val="24"/>
        </w:rPr>
      </w:pPr>
    </w:p>
    <w:p w:rsidR="00071D62" w:rsidRPr="0054503F" w:rsidRDefault="00071D62" w:rsidP="00972688">
      <w:pPr>
        <w:ind w:left="720"/>
        <w:jc w:val="left"/>
        <w:rPr>
          <w:rFonts w:ascii="Arial" w:hAnsi="Arial" w:cs="Arial"/>
          <w:b/>
          <w:bCs/>
          <w:i/>
          <w:iCs/>
          <w:sz w:val="24"/>
          <w:szCs w:val="24"/>
        </w:rPr>
      </w:pPr>
      <w:r w:rsidRPr="0054503F">
        <w:rPr>
          <w:rFonts w:ascii="Arial" w:hAnsi="Arial" w:cs="Arial"/>
          <w:b/>
          <w:bCs/>
          <w:i/>
          <w:iCs/>
          <w:sz w:val="24"/>
          <w:szCs w:val="24"/>
        </w:rPr>
        <w:t xml:space="preserve">Direct sourcing </w:t>
      </w:r>
      <w:r>
        <w:rPr>
          <w:rFonts w:ascii="Arial" w:hAnsi="Arial" w:cs="Arial"/>
          <w:b/>
          <w:bCs/>
          <w:i/>
          <w:iCs/>
          <w:sz w:val="24"/>
          <w:szCs w:val="24"/>
        </w:rPr>
        <w:t xml:space="preserve">shipments </w:t>
      </w:r>
      <w:r w:rsidRPr="0054503F">
        <w:rPr>
          <w:rFonts w:ascii="Arial" w:hAnsi="Arial" w:cs="Arial"/>
          <w:b/>
          <w:bCs/>
          <w:i/>
          <w:iCs/>
          <w:sz w:val="24"/>
          <w:szCs w:val="24"/>
        </w:rPr>
        <w:t>through the Kingfisher Sourcing O</w:t>
      </w:r>
      <w:r>
        <w:rPr>
          <w:rFonts w:ascii="Arial" w:hAnsi="Arial" w:cs="Arial"/>
          <w:b/>
          <w:bCs/>
          <w:i/>
          <w:iCs/>
          <w:sz w:val="24"/>
          <w:szCs w:val="24"/>
        </w:rPr>
        <w:t>rganisation</w:t>
      </w:r>
      <w:r w:rsidRPr="0054503F">
        <w:rPr>
          <w:rFonts w:ascii="Arial" w:hAnsi="Arial" w:cs="Arial"/>
          <w:b/>
          <w:bCs/>
          <w:i/>
          <w:iCs/>
          <w:sz w:val="24"/>
          <w:szCs w:val="24"/>
        </w:rPr>
        <w:t xml:space="preserve"> (KSO</w:t>
      </w:r>
      <w:r>
        <w:rPr>
          <w:rFonts w:ascii="Arial" w:hAnsi="Arial" w:cs="Arial"/>
          <w:b/>
          <w:bCs/>
          <w:i/>
          <w:iCs/>
          <w:sz w:val="24"/>
          <w:szCs w:val="24"/>
        </w:rPr>
        <w:t>)</w:t>
      </w:r>
      <w:r w:rsidRPr="0054503F">
        <w:rPr>
          <w:rFonts w:ascii="Arial" w:hAnsi="Arial" w:cs="Arial"/>
          <w:b/>
          <w:bCs/>
          <w:i/>
          <w:iCs/>
          <w:sz w:val="24"/>
          <w:szCs w:val="24"/>
        </w:rPr>
        <w:t xml:space="preserve"> </w:t>
      </w:r>
      <w:r>
        <w:rPr>
          <w:rFonts w:ascii="Arial" w:hAnsi="Arial" w:cs="Arial"/>
          <w:b/>
          <w:bCs/>
          <w:i/>
          <w:iCs/>
          <w:sz w:val="24"/>
          <w:szCs w:val="24"/>
        </w:rPr>
        <w:t>continued to grow.</w:t>
      </w:r>
    </w:p>
    <w:p w:rsidR="00071D62" w:rsidRDefault="00071D62" w:rsidP="00972688">
      <w:pPr>
        <w:ind w:firstLine="720"/>
        <w:jc w:val="left"/>
        <w:rPr>
          <w:rFonts w:ascii="Arial" w:hAnsi="Arial" w:cs="Arial"/>
          <w:b/>
          <w:bCs/>
          <w:sz w:val="24"/>
          <w:szCs w:val="24"/>
        </w:rPr>
      </w:pPr>
    </w:p>
    <w:p w:rsidR="00071D62" w:rsidRDefault="00071D62" w:rsidP="00972688">
      <w:pPr>
        <w:ind w:firstLine="720"/>
        <w:jc w:val="left"/>
        <w:rPr>
          <w:rFonts w:ascii="Arial" w:hAnsi="Arial" w:cs="Arial"/>
          <w:b/>
          <w:bCs/>
          <w:sz w:val="24"/>
          <w:szCs w:val="24"/>
        </w:rPr>
      </w:pPr>
      <w:r>
        <w:rPr>
          <w:rFonts w:ascii="Arial" w:hAnsi="Arial" w:cs="Arial"/>
          <w:b/>
          <w:bCs/>
          <w:sz w:val="24"/>
          <w:szCs w:val="24"/>
        </w:rPr>
        <w:t>2011/12 first half progress</w:t>
      </w:r>
    </w:p>
    <w:p w:rsidR="00071D62" w:rsidRDefault="00071D62" w:rsidP="00972688">
      <w:pPr>
        <w:jc w:val="left"/>
        <w:rPr>
          <w:rFonts w:ascii="Arial" w:hAnsi="Arial" w:cs="Arial"/>
          <w:sz w:val="24"/>
          <w:szCs w:val="24"/>
        </w:rPr>
      </w:pPr>
      <w:r w:rsidRPr="000C67CC">
        <w:rPr>
          <w:rFonts w:ascii="Arial" w:hAnsi="Arial" w:cs="Arial"/>
          <w:sz w:val="24"/>
          <w:szCs w:val="24"/>
        </w:rPr>
        <w:t xml:space="preserve"> </w:t>
      </w:r>
    </w:p>
    <w:p w:rsidR="00071D62" w:rsidRPr="000C67CC" w:rsidRDefault="00071D62" w:rsidP="00972688">
      <w:pPr>
        <w:numPr>
          <w:ilvl w:val="0"/>
          <w:numId w:val="5"/>
        </w:numPr>
        <w:jc w:val="left"/>
        <w:rPr>
          <w:rFonts w:ascii="Arial" w:hAnsi="Arial" w:cs="Arial"/>
          <w:sz w:val="24"/>
          <w:szCs w:val="24"/>
        </w:rPr>
      </w:pPr>
      <w:r w:rsidRPr="000C67CC">
        <w:rPr>
          <w:rFonts w:ascii="Arial" w:hAnsi="Arial" w:cs="Arial"/>
          <w:sz w:val="24"/>
          <w:szCs w:val="24"/>
        </w:rPr>
        <w:t>Commence</w:t>
      </w:r>
      <w:r>
        <w:rPr>
          <w:rFonts w:ascii="Arial" w:hAnsi="Arial" w:cs="Arial"/>
          <w:sz w:val="24"/>
          <w:szCs w:val="24"/>
        </w:rPr>
        <w:t>d</w:t>
      </w:r>
      <w:r w:rsidRPr="000C67CC">
        <w:rPr>
          <w:rFonts w:ascii="Arial" w:hAnsi="Arial" w:cs="Arial"/>
          <w:sz w:val="24"/>
          <w:szCs w:val="24"/>
        </w:rPr>
        <w:t xml:space="preserve"> roll-out of group</w:t>
      </w:r>
      <w:r>
        <w:rPr>
          <w:rFonts w:ascii="Arial" w:hAnsi="Arial" w:cs="Arial"/>
          <w:sz w:val="24"/>
          <w:szCs w:val="24"/>
        </w:rPr>
        <w:t>-wide</w:t>
      </w:r>
      <w:r w:rsidRPr="000C67CC">
        <w:rPr>
          <w:rFonts w:ascii="Arial" w:hAnsi="Arial" w:cs="Arial"/>
          <w:sz w:val="24"/>
          <w:szCs w:val="24"/>
        </w:rPr>
        <w:t xml:space="preserve"> common ranges under the Blooma, Blyss and Verve </w:t>
      </w:r>
      <w:r>
        <w:rPr>
          <w:rFonts w:ascii="Arial" w:hAnsi="Arial" w:cs="Arial"/>
          <w:sz w:val="24"/>
          <w:szCs w:val="24"/>
        </w:rPr>
        <w:t>‘superbrands’</w:t>
      </w:r>
    </w:p>
    <w:p w:rsidR="00071D62" w:rsidRPr="001740EC" w:rsidRDefault="00071D62" w:rsidP="00972688">
      <w:pPr>
        <w:numPr>
          <w:ilvl w:val="0"/>
          <w:numId w:val="5"/>
        </w:numPr>
        <w:jc w:val="left"/>
        <w:rPr>
          <w:rFonts w:ascii="Arial" w:hAnsi="Arial" w:cs="Arial"/>
          <w:sz w:val="24"/>
          <w:szCs w:val="24"/>
        </w:rPr>
      </w:pPr>
      <w:r>
        <w:rPr>
          <w:rFonts w:ascii="Arial" w:hAnsi="Arial" w:cs="Arial"/>
          <w:sz w:val="24"/>
          <w:szCs w:val="24"/>
        </w:rPr>
        <w:t>Direct sourced shipments running in line with full year target</w:t>
      </w:r>
    </w:p>
    <w:p w:rsidR="00071D62" w:rsidRDefault="00071D62" w:rsidP="00972688">
      <w:pPr>
        <w:ind w:firstLine="720"/>
        <w:jc w:val="left"/>
        <w:rPr>
          <w:rFonts w:ascii="Arial" w:hAnsi="Arial" w:cs="Arial"/>
          <w:sz w:val="24"/>
          <w:szCs w:val="24"/>
        </w:rPr>
      </w:pPr>
    </w:p>
    <w:p w:rsidR="00071D62" w:rsidRDefault="00071D62" w:rsidP="00972688">
      <w:pPr>
        <w:ind w:firstLine="720"/>
        <w:jc w:val="left"/>
        <w:rPr>
          <w:rFonts w:ascii="Arial" w:hAnsi="Arial" w:cs="Arial"/>
          <w:b/>
          <w:bCs/>
          <w:sz w:val="24"/>
          <w:szCs w:val="24"/>
        </w:rPr>
      </w:pPr>
    </w:p>
    <w:p w:rsidR="00071D62" w:rsidRDefault="00071D62" w:rsidP="00972688">
      <w:pPr>
        <w:ind w:firstLine="720"/>
        <w:jc w:val="left"/>
        <w:rPr>
          <w:rFonts w:ascii="Arial" w:hAnsi="Arial" w:cs="Arial"/>
          <w:b/>
          <w:bCs/>
          <w:sz w:val="24"/>
          <w:szCs w:val="24"/>
        </w:rPr>
      </w:pPr>
    </w:p>
    <w:p w:rsidR="00071D62" w:rsidRDefault="00071D62" w:rsidP="00972688">
      <w:pPr>
        <w:ind w:firstLine="720"/>
        <w:jc w:val="left"/>
        <w:rPr>
          <w:rFonts w:ascii="Arial" w:hAnsi="Arial" w:cs="Arial"/>
          <w:b/>
          <w:bCs/>
          <w:sz w:val="24"/>
          <w:szCs w:val="24"/>
        </w:rPr>
      </w:pPr>
    </w:p>
    <w:p w:rsidR="00071D62" w:rsidRDefault="00071D62" w:rsidP="00972688">
      <w:pPr>
        <w:ind w:firstLine="720"/>
        <w:jc w:val="left"/>
        <w:rPr>
          <w:rFonts w:ascii="Arial" w:hAnsi="Arial" w:cs="Arial"/>
          <w:b/>
          <w:bCs/>
          <w:sz w:val="24"/>
          <w:szCs w:val="24"/>
        </w:rPr>
      </w:pPr>
    </w:p>
    <w:p w:rsidR="00071D62" w:rsidRPr="00C20122" w:rsidRDefault="00071D62" w:rsidP="00972688">
      <w:pPr>
        <w:ind w:firstLine="720"/>
        <w:jc w:val="left"/>
        <w:rPr>
          <w:rFonts w:ascii="Arial" w:hAnsi="Arial" w:cs="Arial"/>
          <w:b/>
          <w:bCs/>
          <w:sz w:val="24"/>
          <w:szCs w:val="24"/>
        </w:rPr>
      </w:pPr>
      <w:r>
        <w:rPr>
          <w:rFonts w:ascii="Arial" w:hAnsi="Arial" w:cs="Arial"/>
          <w:b/>
          <w:bCs/>
          <w:sz w:val="24"/>
          <w:szCs w:val="24"/>
        </w:rPr>
        <w:t>2011/12</w:t>
      </w:r>
      <w:r w:rsidRPr="00C20122">
        <w:rPr>
          <w:rFonts w:ascii="Arial" w:hAnsi="Arial" w:cs="Arial"/>
          <w:b/>
          <w:bCs/>
          <w:sz w:val="24"/>
          <w:szCs w:val="24"/>
        </w:rPr>
        <w:t xml:space="preserve"> </w:t>
      </w:r>
      <w:r>
        <w:rPr>
          <w:rFonts w:ascii="Arial" w:hAnsi="Arial" w:cs="Arial"/>
          <w:b/>
          <w:bCs/>
          <w:sz w:val="24"/>
          <w:szCs w:val="24"/>
        </w:rPr>
        <w:t xml:space="preserve">second half </w:t>
      </w:r>
      <w:r w:rsidRPr="00C20122">
        <w:rPr>
          <w:rFonts w:ascii="Arial" w:hAnsi="Arial" w:cs="Arial"/>
          <w:b/>
          <w:bCs/>
          <w:sz w:val="24"/>
          <w:szCs w:val="24"/>
        </w:rPr>
        <w:t>milestones</w:t>
      </w:r>
    </w:p>
    <w:p w:rsidR="00071D62" w:rsidRDefault="00071D62" w:rsidP="00972688">
      <w:pPr>
        <w:jc w:val="left"/>
        <w:rPr>
          <w:rFonts w:ascii="Arial" w:hAnsi="Arial" w:cs="Arial"/>
          <w:sz w:val="24"/>
          <w:szCs w:val="24"/>
        </w:rPr>
      </w:pPr>
    </w:p>
    <w:p w:rsidR="00071D62" w:rsidRDefault="00071D62" w:rsidP="00972688">
      <w:pPr>
        <w:numPr>
          <w:ilvl w:val="0"/>
          <w:numId w:val="5"/>
        </w:numPr>
        <w:jc w:val="left"/>
        <w:rPr>
          <w:rFonts w:ascii="Arial" w:hAnsi="Arial" w:cs="Arial"/>
          <w:sz w:val="24"/>
          <w:szCs w:val="24"/>
        </w:rPr>
      </w:pPr>
      <w:r w:rsidRPr="000C67CC">
        <w:rPr>
          <w:rFonts w:ascii="Arial" w:hAnsi="Arial" w:cs="Arial"/>
          <w:sz w:val="24"/>
          <w:szCs w:val="24"/>
        </w:rPr>
        <w:t>Finalise common range planning and range review alignment between B&amp;Q UK and Castorama France</w:t>
      </w:r>
    </w:p>
    <w:p w:rsidR="00071D62" w:rsidRPr="000C67CC" w:rsidRDefault="00071D62" w:rsidP="00972688">
      <w:pPr>
        <w:numPr>
          <w:ilvl w:val="0"/>
          <w:numId w:val="5"/>
        </w:numPr>
        <w:jc w:val="left"/>
        <w:rPr>
          <w:rFonts w:ascii="Arial" w:hAnsi="Arial" w:cs="Arial"/>
          <w:sz w:val="24"/>
          <w:szCs w:val="24"/>
        </w:rPr>
      </w:pPr>
      <w:r>
        <w:rPr>
          <w:rFonts w:ascii="Arial" w:hAnsi="Arial" w:cs="Arial"/>
          <w:sz w:val="24"/>
          <w:szCs w:val="24"/>
        </w:rPr>
        <w:t>Finalise three year direct sourcing and product innovation development plans</w:t>
      </w:r>
    </w:p>
    <w:p w:rsidR="00071D62" w:rsidRPr="000C67CC" w:rsidRDefault="00071D62" w:rsidP="00972688">
      <w:pPr>
        <w:numPr>
          <w:ilvl w:val="0"/>
          <w:numId w:val="5"/>
        </w:numPr>
        <w:jc w:val="left"/>
        <w:rPr>
          <w:rFonts w:ascii="Arial" w:hAnsi="Arial" w:cs="Arial"/>
          <w:sz w:val="24"/>
          <w:szCs w:val="24"/>
        </w:rPr>
      </w:pPr>
      <w:r>
        <w:rPr>
          <w:rFonts w:ascii="Arial" w:hAnsi="Arial" w:cs="Arial"/>
          <w:sz w:val="24"/>
          <w:szCs w:val="24"/>
        </w:rPr>
        <w:t>Continue to</w:t>
      </w:r>
      <w:r w:rsidRPr="000C67CC">
        <w:rPr>
          <w:rFonts w:ascii="Arial" w:hAnsi="Arial" w:cs="Arial"/>
          <w:sz w:val="24"/>
          <w:szCs w:val="24"/>
        </w:rPr>
        <w:t xml:space="preserve"> roll-out group</w:t>
      </w:r>
      <w:r>
        <w:rPr>
          <w:rFonts w:ascii="Arial" w:hAnsi="Arial" w:cs="Arial"/>
          <w:sz w:val="24"/>
          <w:szCs w:val="24"/>
        </w:rPr>
        <w:t>-wide</w:t>
      </w:r>
      <w:r w:rsidRPr="000C67CC">
        <w:rPr>
          <w:rFonts w:ascii="Arial" w:hAnsi="Arial" w:cs="Arial"/>
          <w:sz w:val="24"/>
          <w:szCs w:val="24"/>
        </w:rPr>
        <w:t xml:space="preserve"> common ranges </w:t>
      </w:r>
    </w:p>
    <w:p w:rsidR="00071D62" w:rsidRDefault="00071D62" w:rsidP="00972688">
      <w:pPr>
        <w:numPr>
          <w:ilvl w:val="0"/>
          <w:numId w:val="5"/>
        </w:numPr>
        <w:jc w:val="left"/>
        <w:rPr>
          <w:rFonts w:ascii="Arial" w:hAnsi="Arial" w:cs="Arial"/>
          <w:sz w:val="24"/>
          <w:szCs w:val="24"/>
        </w:rPr>
      </w:pPr>
      <w:r>
        <w:rPr>
          <w:rFonts w:ascii="Arial" w:hAnsi="Arial" w:cs="Arial"/>
          <w:sz w:val="24"/>
          <w:szCs w:val="24"/>
        </w:rPr>
        <w:t>Increase volume of direct sourced shipments for the full year by 15% to around US$1.5 billion</w:t>
      </w:r>
    </w:p>
    <w:p w:rsidR="00071D62" w:rsidRDefault="00071D62" w:rsidP="00972688">
      <w:pPr>
        <w:jc w:val="left"/>
        <w:rPr>
          <w:rFonts w:ascii="Arial" w:hAnsi="Arial" w:cs="Arial"/>
          <w:sz w:val="24"/>
          <w:szCs w:val="24"/>
        </w:rPr>
      </w:pPr>
    </w:p>
    <w:p w:rsidR="00071D62" w:rsidRDefault="00071D62" w:rsidP="00972688">
      <w:pPr>
        <w:jc w:val="left"/>
        <w:rPr>
          <w:rFonts w:ascii="Arial" w:hAnsi="Arial" w:cs="Arial"/>
          <w:sz w:val="24"/>
          <w:szCs w:val="24"/>
        </w:rPr>
      </w:pPr>
    </w:p>
    <w:p w:rsidR="00071D62" w:rsidRDefault="00071D62" w:rsidP="00972688">
      <w:pPr>
        <w:numPr>
          <w:ilvl w:val="0"/>
          <w:numId w:val="15"/>
        </w:numPr>
        <w:jc w:val="left"/>
        <w:rPr>
          <w:rFonts w:ascii="Arial" w:hAnsi="Arial" w:cs="Arial"/>
          <w:b/>
          <w:bCs/>
          <w:sz w:val="24"/>
          <w:szCs w:val="24"/>
        </w:rPr>
      </w:pPr>
      <w:r w:rsidRPr="00E23D60">
        <w:rPr>
          <w:rFonts w:ascii="Arial" w:hAnsi="Arial" w:cs="Arial"/>
          <w:b/>
          <w:bCs/>
          <w:sz w:val="24"/>
          <w:szCs w:val="24"/>
        </w:rPr>
        <w:t>R</w:t>
      </w:r>
      <w:r w:rsidRPr="003536BB">
        <w:rPr>
          <w:rFonts w:ascii="Arial" w:hAnsi="Arial" w:cs="Arial"/>
          <w:b/>
          <w:bCs/>
          <w:sz w:val="24"/>
          <w:szCs w:val="24"/>
        </w:rPr>
        <w:t xml:space="preserve">educing working capital </w:t>
      </w:r>
    </w:p>
    <w:p w:rsidR="00071D62" w:rsidRDefault="00071D62" w:rsidP="00972688">
      <w:pPr>
        <w:ind w:left="360"/>
        <w:jc w:val="left"/>
        <w:rPr>
          <w:rFonts w:ascii="Arial" w:hAnsi="Arial" w:cs="Arial"/>
          <w:sz w:val="24"/>
          <w:szCs w:val="24"/>
          <w:highlight w:val="yellow"/>
        </w:rPr>
      </w:pPr>
    </w:p>
    <w:p w:rsidR="00071D62" w:rsidRPr="0054503F" w:rsidRDefault="00071D62" w:rsidP="00972688">
      <w:pPr>
        <w:ind w:left="720"/>
        <w:jc w:val="left"/>
        <w:rPr>
          <w:rFonts w:ascii="Arial" w:hAnsi="Arial" w:cs="Arial"/>
          <w:b/>
          <w:bCs/>
          <w:i/>
          <w:iCs/>
          <w:sz w:val="24"/>
          <w:szCs w:val="24"/>
        </w:rPr>
      </w:pPr>
      <w:r>
        <w:rPr>
          <w:rFonts w:ascii="Arial" w:hAnsi="Arial" w:cs="Arial"/>
          <w:b/>
          <w:bCs/>
          <w:i/>
          <w:iCs/>
          <w:sz w:val="24"/>
          <w:szCs w:val="24"/>
        </w:rPr>
        <w:t xml:space="preserve">Since 2007/08 net working capital reduced by over £400 million excluding around £260 million negative impact of French LME </w:t>
      </w:r>
      <w:r w:rsidRPr="003152E6">
        <w:rPr>
          <w:rFonts w:ascii="Helvetica" w:hAnsi="Helvetica" w:cs="Helvetica"/>
          <w:b/>
          <w:bCs/>
          <w:i/>
          <w:iCs/>
          <w:sz w:val="24"/>
          <w:szCs w:val="24"/>
          <w:vertAlign w:val="superscript"/>
        </w:rPr>
        <w:t>(</w:t>
      </w:r>
      <w:r>
        <w:rPr>
          <w:rFonts w:ascii="Helvetica" w:hAnsi="Helvetica" w:cs="Helvetica"/>
          <w:b/>
          <w:bCs/>
          <w:i/>
          <w:iCs/>
          <w:sz w:val="24"/>
          <w:szCs w:val="24"/>
          <w:vertAlign w:val="superscript"/>
        </w:rPr>
        <w:t>2</w:t>
      </w:r>
      <w:r w:rsidRPr="003152E6">
        <w:rPr>
          <w:rFonts w:ascii="Helvetica" w:hAnsi="Helvetica" w:cs="Helvetica"/>
          <w:b/>
          <w:bCs/>
          <w:i/>
          <w:iCs/>
          <w:sz w:val="24"/>
          <w:szCs w:val="24"/>
          <w:vertAlign w:val="superscript"/>
        </w:rPr>
        <w:t>)</w:t>
      </w:r>
      <w:r>
        <w:rPr>
          <w:rFonts w:ascii="Arial" w:hAnsi="Arial" w:cs="Arial"/>
          <w:b/>
          <w:bCs/>
          <w:i/>
          <w:iCs/>
          <w:sz w:val="24"/>
          <w:szCs w:val="24"/>
        </w:rPr>
        <w:t>.</w:t>
      </w:r>
    </w:p>
    <w:p w:rsidR="00071D62" w:rsidRDefault="00071D62" w:rsidP="00972688">
      <w:pPr>
        <w:ind w:firstLine="720"/>
        <w:jc w:val="left"/>
        <w:rPr>
          <w:rFonts w:ascii="Arial" w:hAnsi="Arial" w:cs="Arial"/>
          <w:b/>
          <w:bCs/>
          <w:sz w:val="24"/>
          <w:szCs w:val="24"/>
        </w:rPr>
      </w:pPr>
    </w:p>
    <w:p w:rsidR="00071D62" w:rsidRPr="00A41B1B" w:rsidRDefault="00071D62" w:rsidP="00972688">
      <w:pPr>
        <w:ind w:firstLine="720"/>
        <w:jc w:val="left"/>
        <w:rPr>
          <w:rFonts w:ascii="Arial" w:hAnsi="Arial" w:cs="Arial"/>
          <w:b/>
          <w:bCs/>
          <w:sz w:val="24"/>
          <w:szCs w:val="24"/>
        </w:rPr>
      </w:pPr>
      <w:r>
        <w:rPr>
          <w:rFonts w:ascii="Arial" w:hAnsi="Arial" w:cs="Arial"/>
          <w:b/>
          <w:bCs/>
          <w:sz w:val="24"/>
          <w:szCs w:val="24"/>
        </w:rPr>
        <w:t>2011/</w:t>
      </w:r>
      <w:r w:rsidRPr="00A41B1B">
        <w:rPr>
          <w:rFonts w:ascii="Arial" w:hAnsi="Arial" w:cs="Arial"/>
          <w:b/>
          <w:bCs/>
          <w:sz w:val="24"/>
          <w:szCs w:val="24"/>
        </w:rPr>
        <w:t>12 first half progress</w:t>
      </w:r>
    </w:p>
    <w:p w:rsidR="00071D62" w:rsidRPr="00A41B1B" w:rsidRDefault="00071D62" w:rsidP="00972688">
      <w:pPr>
        <w:autoSpaceDE w:val="0"/>
        <w:autoSpaceDN w:val="0"/>
        <w:adjustRightInd w:val="0"/>
        <w:ind w:left="720"/>
        <w:jc w:val="left"/>
        <w:rPr>
          <w:rFonts w:ascii="Arial" w:hAnsi="Arial" w:cs="Arial"/>
          <w:sz w:val="24"/>
          <w:szCs w:val="24"/>
        </w:rPr>
      </w:pPr>
    </w:p>
    <w:p w:rsidR="00071D62" w:rsidRPr="00A41B1B" w:rsidRDefault="00071D62" w:rsidP="00972688">
      <w:pPr>
        <w:numPr>
          <w:ilvl w:val="0"/>
          <w:numId w:val="5"/>
        </w:numPr>
        <w:jc w:val="left"/>
        <w:rPr>
          <w:rFonts w:ascii="Arial" w:hAnsi="Arial" w:cs="Arial"/>
          <w:sz w:val="24"/>
          <w:szCs w:val="24"/>
        </w:rPr>
      </w:pPr>
      <w:r w:rsidRPr="00A41B1B">
        <w:rPr>
          <w:rFonts w:ascii="Arial" w:hAnsi="Arial" w:cs="Arial"/>
          <w:sz w:val="24"/>
          <w:szCs w:val="24"/>
        </w:rPr>
        <w:t xml:space="preserve">Working capital increased as planned in H1 reflecting new stores and on-going French LME </w:t>
      </w:r>
      <w:r w:rsidRPr="00A41B1B">
        <w:rPr>
          <w:rFonts w:ascii="Helvetica" w:hAnsi="Helvetica" w:cs="Helvetica"/>
          <w:i/>
          <w:iCs/>
          <w:sz w:val="24"/>
          <w:szCs w:val="24"/>
          <w:vertAlign w:val="superscript"/>
        </w:rPr>
        <w:t>(2)</w:t>
      </w:r>
      <w:r w:rsidRPr="00A41B1B">
        <w:rPr>
          <w:rFonts w:ascii="Arial" w:hAnsi="Arial" w:cs="Arial"/>
          <w:sz w:val="24"/>
          <w:szCs w:val="24"/>
        </w:rPr>
        <w:t xml:space="preserve"> impacts. Stock level </w:t>
      </w:r>
      <w:r>
        <w:rPr>
          <w:rFonts w:ascii="Arial" w:hAnsi="Arial" w:cs="Arial"/>
          <w:sz w:val="24"/>
          <w:szCs w:val="24"/>
        </w:rPr>
        <w:t>3</w:t>
      </w:r>
      <w:r w:rsidRPr="00A41B1B">
        <w:rPr>
          <w:rFonts w:ascii="Arial" w:hAnsi="Arial" w:cs="Arial"/>
          <w:sz w:val="24"/>
          <w:szCs w:val="24"/>
        </w:rPr>
        <w:t xml:space="preserve"> days higher than anticipated </w:t>
      </w:r>
      <w:r>
        <w:rPr>
          <w:rFonts w:ascii="Arial" w:hAnsi="Arial" w:cs="Arial"/>
          <w:sz w:val="24"/>
          <w:szCs w:val="24"/>
        </w:rPr>
        <w:t xml:space="preserve">primarily </w:t>
      </w:r>
      <w:r w:rsidRPr="00A41B1B">
        <w:rPr>
          <w:rFonts w:ascii="Arial" w:hAnsi="Arial" w:cs="Arial"/>
          <w:sz w:val="24"/>
          <w:szCs w:val="24"/>
        </w:rPr>
        <w:t>due to slow sales of seasonal product</w:t>
      </w:r>
    </w:p>
    <w:p w:rsidR="00071D62" w:rsidRDefault="00071D62" w:rsidP="00972688">
      <w:pPr>
        <w:numPr>
          <w:ilvl w:val="0"/>
          <w:numId w:val="5"/>
        </w:numPr>
        <w:jc w:val="left"/>
        <w:rPr>
          <w:rFonts w:ascii="Arial" w:hAnsi="Arial" w:cs="Arial"/>
          <w:sz w:val="24"/>
          <w:szCs w:val="24"/>
        </w:rPr>
      </w:pPr>
      <w:r>
        <w:rPr>
          <w:rFonts w:ascii="Arial" w:hAnsi="Arial" w:cs="Arial"/>
          <w:sz w:val="24"/>
          <w:szCs w:val="24"/>
        </w:rPr>
        <w:t>On track to f</w:t>
      </w:r>
      <w:r w:rsidRPr="00C56137">
        <w:rPr>
          <w:rFonts w:ascii="Arial" w:hAnsi="Arial" w:cs="Arial"/>
          <w:sz w:val="24"/>
          <w:szCs w:val="24"/>
        </w:rPr>
        <w:t xml:space="preserve">urther extend </w:t>
      </w:r>
      <w:r>
        <w:rPr>
          <w:rFonts w:ascii="Arial" w:hAnsi="Arial" w:cs="Arial"/>
          <w:sz w:val="24"/>
          <w:szCs w:val="24"/>
        </w:rPr>
        <w:t xml:space="preserve">average </w:t>
      </w:r>
      <w:r w:rsidRPr="00C56137">
        <w:rPr>
          <w:rFonts w:ascii="Arial" w:hAnsi="Arial" w:cs="Arial"/>
          <w:sz w:val="24"/>
          <w:szCs w:val="24"/>
        </w:rPr>
        <w:t xml:space="preserve">payment terms on direct sourced product by </w:t>
      </w:r>
      <w:r>
        <w:rPr>
          <w:rFonts w:ascii="Arial" w:hAnsi="Arial" w:cs="Arial"/>
          <w:sz w:val="24"/>
          <w:szCs w:val="24"/>
        </w:rPr>
        <w:t>another 5</w:t>
      </w:r>
      <w:r w:rsidRPr="00C56137">
        <w:rPr>
          <w:rFonts w:ascii="Arial" w:hAnsi="Arial" w:cs="Arial"/>
          <w:sz w:val="24"/>
          <w:szCs w:val="24"/>
        </w:rPr>
        <w:t xml:space="preserve"> days</w:t>
      </w:r>
      <w:r>
        <w:rPr>
          <w:rFonts w:ascii="Arial" w:hAnsi="Arial" w:cs="Arial"/>
          <w:sz w:val="24"/>
          <w:szCs w:val="24"/>
        </w:rPr>
        <w:t xml:space="preserve"> (to 90 days)</w:t>
      </w:r>
    </w:p>
    <w:p w:rsidR="00071D62" w:rsidRPr="00294947" w:rsidRDefault="00071D62" w:rsidP="00972688">
      <w:pPr>
        <w:jc w:val="left"/>
        <w:rPr>
          <w:rFonts w:ascii="Arial" w:hAnsi="Arial" w:cs="Arial"/>
          <w:sz w:val="24"/>
          <w:szCs w:val="24"/>
        </w:rPr>
      </w:pPr>
    </w:p>
    <w:p w:rsidR="00071D62" w:rsidRPr="00C20122" w:rsidRDefault="00071D62" w:rsidP="0069464D">
      <w:pPr>
        <w:ind w:firstLine="720"/>
        <w:jc w:val="left"/>
        <w:rPr>
          <w:rFonts w:ascii="Arial" w:hAnsi="Arial" w:cs="Arial"/>
          <w:b/>
          <w:bCs/>
          <w:sz w:val="24"/>
          <w:szCs w:val="24"/>
        </w:rPr>
      </w:pPr>
      <w:r>
        <w:rPr>
          <w:rFonts w:ascii="Arial" w:hAnsi="Arial" w:cs="Arial"/>
          <w:b/>
          <w:bCs/>
          <w:sz w:val="24"/>
          <w:szCs w:val="24"/>
        </w:rPr>
        <w:t>2011/12</w:t>
      </w:r>
      <w:r w:rsidRPr="00C20122">
        <w:rPr>
          <w:rFonts w:ascii="Arial" w:hAnsi="Arial" w:cs="Arial"/>
          <w:b/>
          <w:bCs/>
          <w:sz w:val="24"/>
          <w:szCs w:val="24"/>
        </w:rPr>
        <w:t xml:space="preserve"> </w:t>
      </w:r>
      <w:r>
        <w:rPr>
          <w:rFonts w:ascii="Arial" w:hAnsi="Arial" w:cs="Arial"/>
          <w:b/>
          <w:bCs/>
          <w:sz w:val="24"/>
          <w:szCs w:val="24"/>
        </w:rPr>
        <w:t xml:space="preserve">second half </w:t>
      </w:r>
      <w:r w:rsidRPr="00C20122">
        <w:rPr>
          <w:rFonts w:ascii="Arial" w:hAnsi="Arial" w:cs="Arial"/>
          <w:b/>
          <w:bCs/>
          <w:sz w:val="24"/>
          <w:szCs w:val="24"/>
        </w:rPr>
        <w:t>milestones</w:t>
      </w:r>
    </w:p>
    <w:p w:rsidR="00071D62" w:rsidRPr="006A2C70" w:rsidRDefault="00071D62" w:rsidP="00972688">
      <w:pPr>
        <w:jc w:val="left"/>
        <w:rPr>
          <w:rFonts w:ascii="Arial" w:hAnsi="Arial" w:cs="Arial"/>
          <w:sz w:val="24"/>
          <w:szCs w:val="24"/>
        </w:rPr>
      </w:pPr>
    </w:p>
    <w:p w:rsidR="00071D62" w:rsidRPr="00A41B1B" w:rsidRDefault="00071D62" w:rsidP="00972688">
      <w:pPr>
        <w:numPr>
          <w:ilvl w:val="0"/>
          <w:numId w:val="5"/>
        </w:numPr>
        <w:jc w:val="left"/>
        <w:rPr>
          <w:rFonts w:ascii="Arial" w:hAnsi="Arial" w:cs="Arial"/>
          <w:sz w:val="24"/>
          <w:szCs w:val="24"/>
        </w:rPr>
      </w:pPr>
      <w:r w:rsidRPr="00A41B1B">
        <w:rPr>
          <w:rFonts w:ascii="Arial" w:hAnsi="Arial" w:cs="Arial"/>
          <w:sz w:val="24"/>
          <w:szCs w:val="24"/>
        </w:rPr>
        <w:t xml:space="preserve">Eliminate the </w:t>
      </w:r>
      <w:r>
        <w:rPr>
          <w:rFonts w:ascii="Arial" w:hAnsi="Arial" w:cs="Arial"/>
          <w:sz w:val="24"/>
          <w:szCs w:val="24"/>
        </w:rPr>
        <w:t>3</w:t>
      </w:r>
      <w:r w:rsidRPr="00A41B1B">
        <w:rPr>
          <w:rFonts w:ascii="Arial" w:hAnsi="Arial" w:cs="Arial"/>
          <w:sz w:val="24"/>
          <w:szCs w:val="24"/>
        </w:rPr>
        <w:t xml:space="preserve"> days of additional stock</w:t>
      </w:r>
    </w:p>
    <w:p w:rsidR="00071D62" w:rsidRDefault="00071D62" w:rsidP="00972688">
      <w:pPr>
        <w:numPr>
          <w:ilvl w:val="0"/>
          <w:numId w:val="5"/>
        </w:numPr>
        <w:jc w:val="left"/>
        <w:rPr>
          <w:rFonts w:ascii="Arial" w:hAnsi="Arial" w:cs="Arial"/>
          <w:sz w:val="24"/>
          <w:szCs w:val="24"/>
        </w:rPr>
      </w:pPr>
      <w:r>
        <w:rPr>
          <w:rFonts w:ascii="Arial" w:hAnsi="Arial" w:cs="Arial"/>
          <w:sz w:val="24"/>
          <w:szCs w:val="24"/>
        </w:rPr>
        <w:t>Keep ‘Like-for-like’ working capital constant before the impacts of French LME</w:t>
      </w:r>
      <w:r w:rsidRPr="00A41B1B">
        <w:rPr>
          <w:rFonts w:ascii="Arial" w:hAnsi="Arial" w:cs="Arial"/>
          <w:sz w:val="24"/>
          <w:szCs w:val="24"/>
        </w:rPr>
        <w:t xml:space="preserve"> </w:t>
      </w:r>
      <w:r w:rsidRPr="00A41B1B">
        <w:rPr>
          <w:rFonts w:ascii="Helvetica" w:hAnsi="Helvetica" w:cs="Helvetica"/>
          <w:i/>
          <w:iCs/>
          <w:sz w:val="24"/>
          <w:szCs w:val="24"/>
          <w:vertAlign w:val="superscript"/>
        </w:rPr>
        <w:t>(2)</w:t>
      </w:r>
      <w:r w:rsidRPr="00A41B1B">
        <w:rPr>
          <w:rFonts w:ascii="Arial" w:hAnsi="Arial" w:cs="Arial"/>
          <w:i/>
          <w:iCs/>
          <w:sz w:val="24"/>
          <w:szCs w:val="24"/>
        </w:rPr>
        <w:t xml:space="preserve"> </w:t>
      </w:r>
      <w:r>
        <w:rPr>
          <w:rFonts w:ascii="Arial" w:hAnsi="Arial" w:cs="Arial"/>
          <w:sz w:val="24"/>
          <w:szCs w:val="24"/>
        </w:rPr>
        <w:t>and investment required for new stores</w:t>
      </w:r>
    </w:p>
    <w:p w:rsidR="00071D62" w:rsidRDefault="00071D62" w:rsidP="00972688">
      <w:pPr>
        <w:jc w:val="left"/>
        <w:rPr>
          <w:rFonts w:ascii="Arial" w:hAnsi="Arial" w:cs="Arial"/>
          <w:i/>
          <w:iCs/>
          <w:sz w:val="18"/>
          <w:szCs w:val="18"/>
        </w:rPr>
      </w:pPr>
    </w:p>
    <w:p w:rsidR="00071D62" w:rsidRDefault="00071D62" w:rsidP="00972688">
      <w:pPr>
        <w:ind w:left="720"/>
        <w:jc w:val="left"/>
        <w:rPr>
          <w:rFonts w:ascii="Arial" w:hAnsi="Arial" w:cs="Arial"/>
          <w:i/>
          <w:iCs/>
          <w:sz w:val="18"/>
          <w:szCs w:val="18"/>
        </w:rPr>
      </w:pPr>
      <w:r w:rsidRPr="0016260A">
        <w:rPr>
          <w:rFonts w:ascii="Helvetica" w:hAnsi="Helvetica" w:cs="Helvetica"/>
          <w:i/>
          <w:iCs/>
          <w:sz w:val="20"/>
          <w:szCs w:val="20"/>
          <w:vertAlign w:val="superscript"/>
        </w:rPr>
        <w:t>(</w:t>
      </w:r>
      <w:r>
        <w:rPr>
          <w:rFonts w:ascii="Helvetica" w:hAnsi="Helvetica" w:cs="Helvetica"/>
          <w:i/>
          <w:iCs/>
          <w:sz w:val="20"/>
          <w:szCs w:val="20"/>
          <w:vertAlign w:val="superscript"/>
        </w:rPr>
        <w:t>2</w:t>
      </w:r>
      <w:r w:rsidRPr="0016260A">
        <w:rPr>
          <w:rFonts w:ascii="Helvetica" w:hAnsi="Helvetica" w:cs="Helvetica"/>
          <w:i/>
          <w:iCs/>
          <w:sz w:val="20"/>
          <w:szCs w:val="20"/>
          <w:vertAlign w:val="superscript"/>
        </w:rPr>
        <w:t>)</w:t>
      </w:r>
      <w:r>
        <w:rPr>
          <w:rFonts w:ascii="Helvetica" w:hAnsi="Helvetica" w:cs="Helvetica"/>
          <w:i/>
          <w:iCs/>
          <w:sz w:val="20"/>
          <w:szCs w:val="20"/>
          <w:vertAlign w:val="superscript"/>
        </w:rPr>
        <w:t xml:space="preserve">  </w:t>
      </w:r>
      <w:r w:rsidRPr="00FF7444">
        <w:rPr>
          <w:rFonts w:ascii="Arial" w:hAnsi="Arial" w:cs="Arial"/>
          <w:i/>
          <w:iCs/>
          <w:sz w:val="18"/>
          <w:szCs w:val="18"/>
        </w:rPr>
        <w:t>Legislative changes shortening French payment terms</w:t>
      </w:r>
      <w:r>
        <w:rPr>
          <w:rFonts w:ascii="Arial" w:hAnsi="Arial" w:cs="Arial"/>
          <w:i/>
          <w:iCs/>
          <w:sz w:val="18"/>
          <w:szCs w:val="18"/>
        </w:rPr>
        <w:t xml:space="preserve">, </w:t>
      </w:r>
      <w:r w:rsidRPr="001B2A81">
        <w:rPr>
          <w:rFonts w:ascii="Arial" w:hAnsi="Arial" w:cs="Arial"/>
          <w:i/>
          <w:iCs/>
          <w:sz w:val="18"/>
          <w:szCs w:val="18"/>
        </w:rPr>
        <w:t>implemented over the 3 years to 2012</w:t>
      </w:r>
    </w:p>
    <w:p w:rsidR="00071D62" w:rsidRDefault="00071D62" w:rsidP="00972688">
      <w:pPr>
        <w:jc w:val="left"/>
        <w:rPr>
          <w:rFonts w:ascii="Arial" w:hAnsi="Arial" w:cs="Arial"/>
          <w:b/>
          <w:bCs/>
          <w:sz w:val="24"/>
          <w:szCs w:val="24"/>
        </w:rPr>
      </w:pPr>
    </w:p>
    <w:p w:rsidR="00071D62" w:rsidRDefault="00071D62" w:rsidP="00972688">
      <w:pPr>
        <w:jc w:val="left"/>
        <w:rPr>
          <w:rFonts w:ascii="Helvetica" w:hAnsi="Helvetica" w:cs="Helvetica"/>
          <w:b/>
          <w:bCs/>
          <w:caps/>
          <w:sz w:val="24"/>
          <w:szCs w:val="24"/>
        </w:rPr>
      </w:pPr>
    </w:p>
    <w:p w:rsidR="00071D62" w:rsidRPr="005F0031" w:rsidRDefault="00071D62" w:rsidP="00972688">
      <w:pPr>
        <w:jc w:val="left"/>
        <w:rPr>
          <w:rFonts w:ascii="Helvetica" w:hAnsi="Helvetica" w:cs="Helvetica"/>
          <w:b/>
          <w:bCs/>
          <w:caps/>
          <w:sz w:val="24"/>
          <w:szCs w:val="24"/>
        </w:rPr>
      </w:pPr>
      <w:r>
        <w:rPr>
          <w:rFonts w:ascii="Helvetica" w:hAnsi="Helvetica" w:cs="Helvetica"/>
          <w:b/>
          <w:bCs/>
          <w:caps/>
          <w:sz w:val="24"/>
          <w:szCs w:val="24"/>
        </w:rPr>
        <w:t>‘</w:t>
      </w:r>
      <w:r w:rsidRPr="003152E6">
        <w:rPr>
          <w:rFonts w:ascii="Helvetica" w:hAnsi="Helvetica" w:cs="Helvetica"/>
          <w:b/>
          <w:bCs/>
          <w:sz w:val="24"/>
          <w:szCs w:val="24"/>
        </w:rPr>
        <w:t xml:space="preserve">Creating the </w:t>
      </w:r>
      <w:r>
        <w:rPr>
          <w:rFonts w:ascii="Helvetica" w:hAnsi="Helvetica" w:cs="Helvetica"/>
          <w:b/>
          <w:bCs/>
          <w:sz w:val="24"/>
          <w:szCs w:val="24"/>
        </w:rPr>
        <w:t>L</w:t>
      </w:r>
      <w:r w:rsidRPr="003152E6">
        <w:rPr>
          <w:rFonts w:ascii="Helvetica" w:hAnsi="Helvetica" w:cs="Helvetica"/>
          <w:b/>
          <w:bCs/>
          <w:sz w:val="24"/>
          <w:szCs w:val="24"/>
        </w:rPr>
        <w:t>eader</w:t>
      </w:r>
      <w:r w:rsidRPr="00887894">
        <w:rPr>
          <w:rFonts w:ascii="Helvetica" w:hAnsi="Helvetica" w:cs="Helvetica"/>
          <w:b/>
          <w:bCs/>
          <w:sz w:val="24"/>
          <w:szCs w:val="24"/>
        </w:rPr>
        <w:t>’</w:t>
      </w:r>
    </w:p>
    <w:p w:rsidR="00071D62" w:rsidRDefault="00071D62" w:rsidP="00972688">
      <w:pPr>
        <w:jc w:val="left"/>
        <w:rPr>
          <w:rFonts w:ascii="Arial" w:hAnsi="Arial" w:cs="Arial"/>
          <w:sz w:val="24"/>
          <w:szCs w:val="24"/>
        </w:rPr>
      </w:pPr>
    </w:p>
    <w:p w:rsidR="00071D62" w:rsidRDefault="00071D62" w:rsidP="00972688">
      <w:pPr>
        <w:jc w:val="left"/>
        <w:rPr>
          <w:rFonts w:ascii="Arial" w:hAnsi="Arial" w:cs="Arial"/>
          <w:sz w:val="24"/>
          <w:szCs w:val="24"/>
        </w:rPr>
      </w:pPr>
      <w:r>
        <w:rPr>
          <w:rFonts w:ascii="Arial" w:hAnsi="Arial" w:cs="Arial"/>
          <w:sz w:val="24"/>
          <w:szCs w:val="24"/>
        </w:rPr>
        <w:t>We also made progress mobilising the next stage of our development known as ‘</w:t>
      </w:r>
      <w:r w:rsidRPr="00C17B89">
        <w:rPr>
          <w:rFonts w:ascii="Arial" w:hAnsi="Arial" w:cs="Arial"/>
          <w:sz w:val="24"/>
          <w:szCs w:val="24"/>
        </w:rPr>
        <w:t>Creating the Leader</w:t>
      </w:r>
      <w:r>
        <w:rPr>
          <w:rFonts w:ascii="Arial" w:hAnsi="Arial" w:cs="Arial"/>
          <w:sz w:val="24"/>
          <w:szCs w:val="24"/>
        </w:rPr>
        <w:t>’. This phase will focus on a number of self-help initiatives to drive sales, margin and cost productivity across the Group under three general themes - making home improvement easier for customers (‘Easy’), developing a world class core</w:t>
      </w:r>
      <w:r w:rsidRPr="00885AA8">
        <w:rPr>
          <w:rFonts w:ascii="Arial" w:hAnsi="Arial" w:cs="Arial"/>
          <w:sz w:val="24"/>
          <w:szCs w:val="24"/>
        </w:rPr>
        <w:t xml:space="preserve"> common</w:t>
      </w:r>
      <w:r>
        <w:rPr>
          <w:rFonts w:ascii="Arial" w:hAnsi="Arial" w:cs="Arial"/>
          <w:b/>
          <w:bCs/>
          <w:sz w:val="24"/>
          <w:szCs w:val="24"/>
        </w:rPr>
        <w:t xml:space="preserve"> </w:t>
      </w:r>
      <w:r>
        <w:rPr>
          <w:rFonts w:ascii="Arial" w:hAnsi="Arial" w:cs="Arial"/>
          <w:sz w:val="24"/>
          <w:szCs w:val="24"/>
        </w:rPr>
        <w:t>range (‘Common’) and accelerating our expansion (‘Expand’).</w:t>
      </w:r>
    </w:p>
    <w:p w:rsidR="00071D62" w:rsidRDefault="00071D62" w:rsidP="00972688">
      <w:pPr>
        <w:jc w:val="left"/>
        <w:rPr>
          <w:rFonts w:ascii="Arial" w:hAnsi="Arial" w:cs="Arial"/>
          <w:sz w:val="24"/>
          <w:szCs w:val="24"/>
        </w:rPr>
      </w:pPr>
    </w:p>
    <w:p w:rsidR="00071D62" w:rsidRDefault="00071D62" w:rsidP="00972688">
      <w:pPr>
        <w:jc w:val="left"/>
        <w:rPr>
          <w:rFonts w:ascii="Arial" w:hAnsi="Arial" w:cs="Arial"/>
          <w:sz w:val="24"/>
          <w:szCs w:val="24"/>
        </w:rPr>
      </w:pPr>
      <w:r>
        <w:rPr>
          <w:rFonts w:ascii="Arial" w:hAnsi="Arial" w:cs="Arial"/>
          <w:sz w:val="24"/>
          <w:szCs w:val="24"/>
        </w:rPr>
        <w:t xml:space="preserve">Examples of key progress made in the first half include the establishment of a new, 50 strong, Group </w:t>
      </w:r>
      <w:r w:rsidRPr="000C67CC">
        <w:rPr>
          <w:rFonts w:ascii="Arial" w:hAnsi="Arial" w:cs="Arial"/>
          <w:sz w:val="24"/>
          <w:szCs w:val="24"/>
        </w:rPr>
        <w:t>innovation and design team</w:t>
      </w:r>
      <w:r>
        <w:rPr>
          <w:rFonts w:ascii="Arial" w:hAnsi="Arial" w:cs="Arial"/>
          <w:sz w:val="24"/>
          <w:szCs w:val="24"/>
        </w:rPr>
        <w:t xml:space="preserve"> in France and the creation of a </w:t>
      </w:r>
      <w:r w:rsidRPr="000C67CC">
        <w:rPr>
          <w:rFonts w:ascii="Arial" w:hAnsi="Arial" w:cs="Arial"/>
          <w:sz w:val="24"/>
          <w:szCs w:val="24"/>
        </w:rPr>
        <w:t xml:space="preserve">new group commercial organisation </w:t>
      </w:r>
      <w:r>
        <w:rPr>
          <w:rFonts w:ascii="Arial" w:hAnsi="Arial" w:cs="Arial"/>
          <w:sz w:val="24"/>
          <w:szCs w:val="24"/>
        </w:rPr>
        <w:t>(referred to internally as the ‘Kingfisher Brands Network’) which will lead the development of and implementation in store of a best in class group-wide common range.</w:t>
      </w:r>
    </w:p>
    <w:p w:rsidR="00071D62" w:rsidRDefault="00071D62" w:rsidP="00972688">
      <w:pPr>
        <w:jc w:val="left"/>
        <w:rPr>
          <w:rFonts w:ascii="Arial" w:hAnsi="Arial" w:cs="Arial"/>
          <w:sz w:val="24"/>
          <w:szCs w:val="24"/>
        </w:rPr>
      </w:pPr>
      <w:r>
        <w:rPr>
          <w:rFonts w:ascii="Arial" w:hAnsi="Arial" w:cs="Arial"/>
          <w:sz w:val="24"/>
          <w:szCs w:val="24"/>
        </w:rPr>
        <w:br w:type="page"/>
      </w:r>
    </w:p>
    <w:p w:rsidR="00071D62" w:rsidRDefault="00071D62">
      <w:pPr>
        <w:jc w:val="left"/>
        <w:rPr>
          <w:rFonts w:ascii="Arial" w:hAnsi="Arial" w:cs="Arial"/>
          <w:sz w:val="24"/>
          <w:szCs w:val="24"/>
        </w:rPr>
      </w:pPr>
      <w:r>
        <w:rPr>
          <w:rFonts w:ascii="Arial" w:hAnsi="Arial" w:cs="Arial"/>
          <w:b/>
          <w:bCs/>
          <w:sz w:val="24"/>
          <w:szCs w:val="24"/>
        </w:rPr>
        <w:t xml:space="preserve">Sustainability </w:t>
      </w:r>
    </w:p>
    <w:p w:rsidR="00071D62" w:rsidRDefault="00071D62">
      <w:pPr>
        <w:jc w:val="left"/>
        <w:rPr>
          <w:rFonts w:ascii="Arial" w:hAnsi="Arial" w:cs="Arial"/>
          <w:sz w:val="24"/>
          <w:szCs w:val="24"/>
        </w:rPr>
      </w:pPr>
    </w:p>
    <w:p w:rsidR="00071D62" w:rsidRDefault="00071D62" w:rsidP="0069464D">
      <w:pPr>
        <w:jc w:val="left"/>
        <w:rPr>
          <w:rFonts w:ascii="Arial" w:hAnsi="Arial" w:cs="Arial"/>
          <w:sz w:val="24"/>
          <w:szCs w:val="24"/>
        </w:rPr>
      </w:pPr>
      <w:r>
        <w:rPr>
          <w:rFonts w:ascii="Arial" w:hAnsi="Arial" w:cs="Arial"/>
          <w:sz w:val="24"/>
          <w:szCs w:val="24"/>
        </w:rPr>
        <w:t>Sustainability will be</w:t>
      </w:r>
      <w:r w:rsidRPr="003152E6">
        <w:rPr>
          <w:rFonts w:ascii="Arial" w:hAnsi="Arial" w:cs="Arial"/>
          <w:sz w:val="24"/>
          <w:szCs w:val="24"/>
        </w:rPr>
        <w:t xml:space="preserve"> </w:t>
      </w:r>
      <w:r>
        <w:rPr>
          <w:rFonts w:ascii="Arial" w:hAnsi="Arial" w:cs="Arial"/>
          <w:sz w:val="24"/>
          <w:szCs w:val="24"/>
        </w:rPr>
        <w:t>an essential part</w:t>
      </w:r>
      <w:r w:rsidRPr="003152E6">
        <w:rPr>
          <w:rFonts w:ascii="Arial" w:hAnsi="Arial" w:cs="Arial"/>
          <w:sz w:val="24"/>
          <w:szCs w:val="24"/>
        </w:rPr>
        <w:t xml:space="preserve"> of our </w:t>
      </w:r>
      <w:r>
        <w:rPr>
          <w:rFonts w:ascii="Arial" w:hAnsi="Arial" w:cs="Arial"/>
          <w:sz w:val="24"/>
          <w:szCs w:val="24"/>
        </w:rPr>
        <w:t xml:space="preserve">‘Creating the Leader’ strategy. We are already </w:t>
      </w:r>
      <w:r w:rsidRPr="00791B66">
        <w:rPr>
          <w:rFonts w:ascii="Arial" w:hAnsi="Arial" w:cs="Arial"/>
          <w:sz w:val="24"/>
          <w:szCs w:val="24"/>
        </w:rPr>
        <w:t xml:space="preserve">helping customers make their homes more sustainable at lower cost, whilst also making </w:t>
      </w:r>
      <w:r>
        <w:rPr>
          <w:rFonts w:ascii="Arial" w:hAnsi="Arial" w:cs="Arial"/>
          <w:sz w:val="24"/>
          <w:szCs w:val="24"/>
        </w:rPr>
        <w:t xml:space="preserve">our </w:t>
      </w:r>
      <w:r w:rsidRPr="00791B66">
        <w:rPr>
          <w:rFonts w:ascii="Arial" w:hAnsi="Arial" w:cs="Arial"/>
          <w:sz w:val="24"/>
          <w:szCs w:val="24"/>
        </w:rPr>
        <w:t xml:space="preserve">own business more sustainable by reducing </w:t>
      </w:r>
      <w:r>
        <w:rPr>
          <w:rFonts w:ascii="Arial" w:hAnsi="Arial" w:cs="Arial"/>
          <w:sz w:val="24"/>
          <w:szCs w:val="24"/>
        </w:rPr>
        <w:t xml:space="preserve">our </w:t>
      </w:r>
      <w:r w:rsidRPr="00791B66">
        <w:rPr>
          <w:rFonts w:ascii="Arial" w:hAnsi="Arial" w:cs="Arial"/>
          <w:sz w:val="24"/>
          <w:szCs w:val="24"/>
        </w:rPr>
        <w:t>environmental and social impact</w:t>
      </w:r>
      <w:r>
        <w:rPr>
          <w:rFonts w:ascii="Arial" w:hAnsi="Arial" w:cs="Arial"/>
          <w:sz w:val="24"/>
          <w:szCs w:val="24"/>
        </w:rPr>
        <w:t xml:space="preserve">. As well as being good for the environment, sustainable businesses have a long and successful future ahead of them, making them attractive places to work and more valuable investments for shareholders. </w:t>
      </w:r>
      <w:r w:rsidRPr="00887894">
        <w:rPr>
          <w:rFonts w:ascii="Arial" w:hAnsi="Arial" w:cs="Arial"/>
          <w:sz w:val="24"/>
          <w:szCs w:val="24"/>
        </w:rPr>
        <w:t> </w:t>
      </w:r>
    </w:p>
    <w:p w:rsidR="00071D62" w:rsidRDefault="00071D62" w:rsidP="0069464D">
      <w:pPr>
        <w:jc w:val="left"/>
        <w:rPr>
          <w:rFonts w:ascii="Arial" w:hAnsi="Arial" w:cs="Arial"/>
          <w:sz w:val="24"/>
          <w:szCs w:val="24"/>
        </w:rPr>
      </w:pPr>
    </w:p>
    <w:p w:rsidR="00071D62" w:rsidRDefault="00071D62" w:rsidP="0069464D">
      <w:pPr>
        <w:jc w:val="left"/>
        <w:rPr>
          <w:rFonts w:cs="Times New Roman"/>
          <w:color w:val="0000FF"/>
        </w:rPr>
      </w:pPr>
      <w:r w:rsidRPr="003152E6">
        <w:rPr>
          <w:rFonts w:ascii="Arial" w:hAnsi="Arial" w:cs="Arial"/>
          <w:sz w:val="24"/>
          <w:szCs w:val="24"/>
        </w:rPr>
        <w:t xml:space="preserve">Building on </w:t>
      </w:r>
      <w:r>
        <w:rPr>
          <w:rFonts w:ascii="Arial" w:hAnsi="Arial" w:cs="Arial"/>
          <w:sz w:val="24"/>
          <w:szCs w:val="24"/>
        </w:rPr>
        <w:t xml:space="preserve">our strong heritage in sustainability </w:t>
      </w:r>
      <w:r w:rsidRPr="003152E6">
        <w:rPr>
          <w:rFonts w:ascii="Arial" w:hAnsi="Arial" w:cs="Arial"/>
          <w:sz w:val="24"/>
          <w:szCs w:val="24"/>
        </w:rPr>
        <w:t xml:space="preserve">we have </w:t>
      </w:r>
      <w:r>
        <w:rPr>
          <w:rFonts w:ascii="Arial" w:hAnsi="Arial" w:cs="Arial"/>
          <w:sz w:val="24"/>
          <w:szCs w:val="24"/>
        </w:rPr>
        <w:t xml:space="preserve">identified </w:t>
      </w:r>
      <w:r w:rsidRPr="003152E6">
        <w:rPr>
          <w:rFonts w:ascii="Arial" w:hAnsi="Arial" w:cs="Arial"/>
          <w:sz w:val="24"/>
          <w:szCs w:val="24"/>
        </w:rPr>
        <w:t xml:space="preserve">four key priorities where we </w:t>
      </w:r>
      <w:r>
        <w:rPr>
          <w:rFonts w:ascii="Arial" w:hAnsi="Arial" w:cs="Arial"/>
          <w:sz w:val="24"/>
          <w:szCs w:val="24"/>
        </w:rPr>
        <w:t xml:space="preserve">believe we </w:t>
      </w:r>
      <w:r w:rsidRPr="003152E6">
        <w:rPr>
          <w:rFonts w:ascii="Arial" w:hAnsi="Arial" w:cs="Arial"/>
          <w:sz w:val="24"/>
          <w:szCs w:val="24"/>
        </w:rPr>
        <w:t>can make the most difference:</w:t>
      </w:r>
    </w:p>
    <w:p w:rsidR="00071D62" w:rsidRDefault="00071D62" w:rsidP="0069464D">
      <w:pPr>
        <w:rPr>
          <w:rFonts w:cs="Times New Roman"/>
          <w:color w:val="0000FF"/>
        </w:rPr>
      </w:pPr>
    </w:p>
    <w:p w:rsidR="00071D62" w:rsidRDefault="00071D62" w:rsidP="0069464D">
      <w:pPr>
        <w:numPr>
          <w:ilvl w:val="0"/>
          <w:numId w:val="5"/>
        </w:numPr>
        <w:jc w:val="left"/>
        <w:rPr>
          <w:rFonts w:ascii="Arial" w:hAnsi="Arial" w:cs="Arial"/>
          <w:sz w:val="24"/>
          <w:szCs w:val="24"/>
        </w:rPr>
      </w:pPr>
      <w:r>
        <w:rPr>
          <w:rFonts w:ascii="Arial" w:hAnsi="Arial" w:cs="Arial"/>
          <w:sz w:val="24"/>
          <w:szCs w:val="24"/>
        </w:rPr>
        <w:t xml:space="preserve">Innovation: </w:t>
      </w:r>
      <w:r w:rsidRPr="003152E6">
        <w:rPr>
          <w:rFonts w:ascii="Arial" w:hAnsi="Arial" w:cs="Arial"/>
          <w:sz w:val="24"/>
          <w:szCs w:val="24"/>
        </w:rPr>
        <w:t>the place to shop for sustainable products</w:t>
      </w:r>
    </w:p>
    <w:p w:rsidR="00071D62" w:rsidRDefault="00071D62" w:rsidP="0069464D">
      <w:pPr>
        <w:numPr>
          <w:ilvl w:val="0"/>
          <w:numId w:val="5"/>
        </w:numPr>
        <w:jc w:val="left"/>
        <w:rPr>
          <w:rFonts w:ascii="Arial" w:hAnsi="Arial" w:cs="Arial"/>
          <w:sz w:val="24"/>
          <w:szCs w:val="24"/>
        </w:rPr>
      </w:pPr>
      <w:r>
        <w:rPr>
          <w:rFonts w:ascii="Arial" w:hAnsi="Arial" w:cs="Arial"/>
          <w:sz w:val="24"/>
          <w:szCs w:val="24"/>
        </w:rPr>
        <w:t>Energy: </w:t>
      </w:r>
      <w:r w:rsidRPr="003152E6">
        <w:rPr>
          <w:rFonts w:ascii="Arial" w:hAnsi="Arial" w:cs="Arial"/>
          <w:sz w:val="24"/>
          <w:szCs w:val="24"/>
        </w:rPr>
        <w:t>the best at providing energy-saving</w:t>
      </w:r>
      <w:r>
        <w:rPr>
          <w:rFonts w:ascii="Arial" w:hAnsi="Arial" w:cs="Arial"/>
          <w:sz w:val="24"/>
          <w:szCs w:val="24"/>
        </w:rPr>
        <w:t xml:space="preserve"> solutions for our customers and</w:t>
      </w:r>
      <w:r w:rsidRPr="003152E6">
        <w:rPr>
          <w:rFonts w:ascii="Arial" w:hAnsi="Arial" w:cs="Arial"/>
          <w:sz w:val="24"/>
          <w:szCs w:val="24"/>
        </w:rPr>
        <w:t xml:space="preserve"> </w:t>
      </w:r>
      <w:r>
        <w:rPr>
          <w:rFonts w:ascii="Arial" w:hAnsi="Arial" w:cs="Arial"/>
          <w:sz w:val="24"/>
          <w:szCs w:val="24"/>
        </w:rPr>
        <w:t xml:space="preserve"> </w:t>
      </w:r>
      <w:r w:rsidRPr="003152E6">
        <w:rPr>
          <w:rFonts w:ascii="Arial" w:hAnsi="Arial" w:cs="Arial"/>
          <w:sz w:val="24"/>
          <w:szCs w:val="24"/>
        </w:rPr>
        <w:t>ourselves</w:t>
      </w:r>
    </w:p>
    <w:p w:rsidR="00071D62" w:rsidRDefault="00071D62" w:rsidP="0069464D">
      <w:pPr>
        <w:numPr>
          <w:ilvl w:val="0"/>
          <w:numId w:val="5"/>
        </w:numPr>
        <w:jc w:val="left"/>
        <w:rPr>
          <w:rFonts w:ascii="Arial" w:hAnsi="Arial" w:cs="Arial"/>
          <w:sz w:val="24"/>
          <w:szCs w:val="24"/>
        </w:rPr>
      </w:pPr>
      <w:r>
        <w:rPr>
          <w:rFonts w:ascii="Arial" w:hAnsi="Arial" w:cs="Arial"/>
          <w:sz w:val="24"/>
          <w:szCs w:val="24"/>
        </w:rPr>
        <w:t>Communities:</w:t>
      </w:r>
      <w:r w:rsidRPr="001123D6">
        <w:rPr>
          <w:color w:val="0000FF"/>
        </w:rPr>
        <w:t xml:space="preserve"> </w:t>
      </w:r>
      <w:r>
        <w:rPr>
          <w:color w:val="0000FF"/>
        </w:rPr>
        <w:t xml:space="preserve"> </w:t>
      </w:r>
      <w:r w:rsidRPr="003152E6">
        <w:rPr>
          <w:rFonts w:ascii="Arial" w:hAnsi="Arial" w:cs="Arial"/>
          <w:sz w:val="24"/>
          <w:szCs w:val="24"/>
        </w:rPr>
        <w:t>to have a positive impact on all the communities we operate in</w:t>
      </w:r>
    </w:p>
    <w:p w:rsidR="00071D62" w:rsidRDefault="00071D62" w:rsidP="0069464D">
      <w:pPr>
        <w:numPr>
          <w:ilvl w:val="0"/>
          <w:numId w:val="5"/>
        </w:numPr>
        <w:jc w:val="left"/>
        <w:rPr>
          <w:rFonts w:ascii="Arial" w:hAnsi="Arial" w:cs="Arial"/>
          <w:sz w:val="24"/>
          <w:szCs w:val="24"/>
        </w:rPr>
      </w:pPr>
      <w:r>
        <w:rPr>
          <w:rFonts w:ascii="Arial" w:hAnsi="Arial" w:cs="Arial"/>
          <w:sz w:val="24"/>
          <w:szCs w:val="24"/>
        </w:rPr>
        <w:t xml:space="preserve">Timber: </w:t>
      </w:r>
      <w:r w:rsidRPr="003152E6">
        <w:rPr>
          <w:rFonts w:ascii="Arial" w:hAnsi="Arial" w:cs="Arial"/>
          <w:sz w:val="24"/>
          <w:szCs w:val="24"/>
        </w:rPr>
        <w:t>to sell timber only from proven well-mana</w:t>
      </w:r>
      <w:r>
        <w:rPr>
          <w:rFonts w:ascii="Arial" w:hAnsi="Arial" w:cs="Arial"/>
          <w:sz w:val="24"/>
          <w:szCs w:val="24"/>
        </w:rPr>
        <w:t>ged forests or recycled sources</w:t>
      </w:r>
    </w:p>
    <w:p w:rsidR="00071D62" w:rsidRDefault="00071D62" w:rsidP="0069464D">
      <w:pPr>
        <w:jc w:val="left"/>
        <w:rPr>
          <w:rFonts w:ascii="Arial" w:hAnsi="Arial" w:cs="Arial"/>
          <w:sz w:val="24"/>
          <w:szCs w:val="24"/>
        </w:rPr>
      </w:pPr>
    </w:p>
    <w:p w:rsidR="00071D62" w:rsidRDefault="00071D62" w:rsidP="0069464D">
      <w:pPr>
        <w:jc w:val="left"/>
        <w:rPr>
          <w:rFonts w:ascii="Arial" w:hAnsi="Arial" w:cs="Arial"/>
          <w:sz w:val="24"/>
          <w:szCs w:val="24"/>
        </w:rPr>
      </w:pPr>
      <w:r w:rsidRPr="00791B66">
        <w:rPr>
          <w:rFonts w:ascii="Arial" w:hAnsi="Arial" w:cs="Arial"/>
          <w:sz w:val="24"/>
          <w:szCs w:val="24"/>
        </w:rPr>
        <w:t>Good progress was made against th</w:t>
      </w:r>
      <w:r>
        <w:rPr>
          <w:rFonts w:ascii="Arial" w:hAnsi="Arial" w:cs="Arial"/>
          <w:sz w:val="24"/>
          <w:szCs w:val="24"/>
        </w:rPr>
        <w:t>ese priorities</w:t>
      </w:r>
      <w:r w:rsidRPr="00791B66">
        <w:rPr>
          <w:rFonts w:ascii="Arial" w:hAnsi="Arial" w:cs="Arial"/>
          <w:sz w:val="24"/>
          <w:szCs w:val="24"/>
        </w:rPr>
        <w:t xml:space="preserve"> </w:t>
      </w:r>
      <w:r>
        <w:rPr>
          <w:rFonts w:ascii="Arial" w:hAnsi="Arial" w:cs="Arial"/>
          <w:sz w:val="24"/>
          <w:szCs w:val="24"/>
        </w:rPr>
        <w:t xml:space="preserve">but of particular note was B&amp;Q UK’s progress with its target to source all its </w:t>
      </w:r>
      <w:r w:rsidRPr="00AB4EA9">
        <w:rPr>
          <w:rFonts w:ascii="Arial" w:hAnsi="Arial" w:cs="Arial"/>
          <w:sz w:val="24"/>
          <w:szCs w:val="24"/>
        </w:rPr>
        <w:t>timber from well-managed sources</w:t>
      </w:r>
      <w:r>
        <w:rPr>
          <w:rFonts w:ascii="Arial" w:hAnsi="Arial" w:cs="Arial"/>
          <w:sz w:val="24"/>
          <w:szCs w:val="24"/>
        </w:rPr>
        <w:t xml:space="preserve">. B&amp;Q UK recently achieved its 100% target ahead of plan and is now the first major retailer in the UK to have achieved this.  </w:t>
      </w:r>
    </w:p>
    <w:p w:rsidR="00071D62" w:rsidRDefault="00071D62" w:rsidP="0069464D">
      <w:pPr>
        <w:jc w:val="left"/>
        <w:rPr>
          <w:rFonts w:ascii="Arial" w:hAnsi="Arial" w:cs="Arial"/>
          <w:sz w:val="24"/>
          <w:szCs w:val="24"/>
        </w:rPr>
      </w:pPr>
    </w:p>
    <w:p w:rsidR="00071D62" w:rsidRDefault="00071D62">
      <w:pPr>
        <w:jc w:val="left"/>
        <w:rPr>
          <w:rFonts w:ascii="Arial" w:hAnsi="Arial" w:cs="Arial"/>
          <w:sz w:val="24"/>
          <w:szCs w:val="24"/>
        </w:rPr>
      </w:pPr>
      <w:r>
        <w:rPr>
          <w:rFonts w:ascii="Arial" w:hAnsi="Arial" w:cs="Arial"/>
          <w:sz w:val="24"/>
          <w:szCs w:val="24"/>
        </w:rPr>
        <w:t xml:space="preserve">In recognition of Kingfisher’s progress with its sustainability agenda it was recently </w:t>
      </w:r>
      <w:r w:rsidRPr="003152E6">
        <w:rPr>
          <w:rFonts w:ascii="Arial" w:hAnsi="Arial" w:cs="Arial"/>
          <w:sz w:val="24"/>
          <w:szCs w:val="24"/>
        </w:rPr>
        <w:t>awarded</w:t>
      </w:r>
      <w:r>
        <w:rPr>
          <w:rFonts w:ascii="Arial" w:hAnsi="Arial" w:cs="Arial"/>
          <w:sz w:val="24"/>
          <w:szCs w:val="24"/>
        </w:rPr>
        <w:t xml:space="preserve"> </w:t>
      </w:r>
      <w:r w:rsidRPr="003152E6">
        <w:rPr>
          <w:rFonts w:ascii="Arial" w:hAnsi="Arial" w:cs="Arial"/>
          <w:sz w:val="24"/>
          <w:szCs w:val="24"/>
        </w:rPr>
        <w:t>Business in the Community</w:t>
      </w:r>
      <w:r w:rsidRPr="00887894">
        <w:rPr>
          <w:rFonts w:ascii="Arial" w:hAnsi="Arial" w:cs="Arial"/>
          <w:sz w:val="24"/>
          <w:szCs w:val="24"/>
        </w:rPr>
        <w:t>’</w:t>
      </w:r>
      <w:r w:rsidRPr="003152E6">
        <w:rPr>
          <w:rFonts w:ascii="Arial" w:hAnsi="Arial" w:cs="Arial"/>
          <w:sz w:val="24"/>
          <w:szCs w:val="24"/>
        </w:rPr>
        <w:t xml:space="preserve">s (BITC) prestigious </w:t>
      </w:r>
      <w:r>
        <w:rPr>
          <w:rFonts w:ascii="Arial" w:hAnsi="Arial" w:cs="Arial"/>
          <w:sz w:val="24"/>
          <w:szCs w:val="24"/>
        </w:rPr>
        <w:t>‘</w:t>
      </w:r>
      <w:r w:rsidRPr="003152E6">
        <w:rPr>
          <w:rFonts w:ascii="Arial" w:hAnsi="Arial" w:cs="Arial"/>
          <w:sz w:val="24"/>
          <w:szCs w:val="24"/>
        </w:rPr>
        <w:t>Platinum Plus</w:t>
      </w:r>
      <w:r>
        <w:rPr>
          <w:rFonts w:ascii="Arial" w:hAnsi="Arial" w:cs="Arial"/>
          <w:sz w:val="24"/>
          <w:szCs w:val="24"/>
        </w:rPr>
        <w:t>’</w:t>
      </w:r>
      <w:r w:rsidRPr="003152E6">
        <w:rPr>
          <w:rFonts w:ascii="Arial" w:hAnsi="Arial" w:cs="Arial"/>
          <w:sz w:val="24"/>
          <w:szCs w:val="24"/>
        </w:rPr>
        <w:t xml:space="preserve"> standard </w:t>
      </w:r>
      <w:r>
        <w:rPr>
          <w:rFonts w:ascii="Arial" w:hAnsi="Arial" w:cs="Arial"/>
          <w:sz w:val="24"/>
          <w:szCs w:val="24"/>
        </w:rPr>
        <w:t xml:space="preserve">for </w:t>
      </w:r>
      <w:r w:rsidRPr="003152E6">
        <w:rPr>
          <w:rFonts w:ascii="Arial" w:hAnsi="Arial" w:cs="Arial"/>
          <w:sz w:val="24"/>
          <w:szCs w:val="24"/>
        </w:rPr>
        <w:t>leadin</w:t>
      </w:r>
      <w:r>
        <w:rPr>
          <w:rFonts w:ascii="Arial" w:hAnsi="Arial" w:cs="Arial"/>
          <w:sz w:val="24"/>
          <w:szCs w:val="24"/>
        </w:rPr>
        <w:t xml:space="preserve">g on sustainability and was </w:t>
      </w:r>
      <w:r w:rsidRPr="003152E6">
        <w:rPr>
          <w:rFonts w:ascii="Arial" w:hAnsi="Arial" w:cs="Arial"/>
          <w:sz w:val="24"/>
          <w:szCs w:val="24"/>
        </w:rPr>
        <w:t xml:space="preserve">shortlisted as a finalist in the </w:t>
      </w:r>
      <w:r>
        <w:rPr>
          <w:rFonts w:ascii="Arial" w:hAnsi="Arial" w:cs="Arial"/>
          <w:sz w:val="24"/>
          <w:szCs w:val="24"/>
        </w:rPr>
        <w:t>‘</w:t>
      </w:r>
      <w:r w:rsidRPr="003152E6">
        <w:rPr>
          <w:rFonts w:ascii="Arial" w:hAnsi="Arial" w:cs="Arial"/>
          <w:sz w:val="24"/>
          <w:szCs w:val="24"/>
        </w:rPr>
        <w:t>Responsible Retailer of the Year</w:t>
      </w:r>
      <w:r>
        <w:rPr>
          <w:rFonts w:ascii="Arial" w:hAnsi="Arial" w:cs="Arial"/>
          <w:sz w:val="24"/>
          <w:szCs w:val="24"/>
        </w:rPr>
        <w:t>’</w:t>
      </w:r>
      <w:r w:rsidRPr="003152E6">
        <w:rPr>
          <w:rFonts w:ascii="Arial" w:hAnsi="Arial" w:cs="Arial"/>
          <w:sz w:val="24"/>
          <w:szCs w:val="24"/>
        </w:rPr>
        <w:t xml:space="preserve"> category of the 2011 Orac</w:t>
      </w:r>
      <w:r>
        <w:rPr>
          <w:rFonts w:ascii="Arial" w:hAnsi="Arial" w:cs="Arial"/>
          <w:sz w:val="24"/>
          <w:szCs w:val="24"/>
        </w:rPr>
        <w:t>le World Retail Awards.</w:t>
      </w:r>
    </w:p>
    <w:p w:rsidR="00071D62" w:rsidRPr="00B16204" w:rsidRDefault="00071D62" w:rsidP="00972688">
      <w:pPr>
        <w:jc w:val="left"/>
        <w:rPr>
          <w:rFonts w:ascii="Arial" w:hAnsi="Arial" w:cs="Arial"/>
          <w:i/>
          <w:iCs/>
          <w:sz w:val="24"/>
          <w:szCs w:val="24"/>
        </w:rPr>
      </w:pPr>
    </w:p>
    <w:p w:rsidR="00071D62" w:rsidRPr="00B16204" w:rsidRDefault="00071D62" w:rsidP="00972688">
      <w:pPr>
        <w:jc w:val="left"/>
        <w:rPr>
          <w:rFonts w:ascii="Arial" w:hAnsi="Arial" w:cs="Arial"/>
          <w:b/>
          <w:bCs/>
          <w:sz w:val="24"/>
          <w:szCs w:val="24"/>
        </w:rPr>
      </w:pPr>
      <w:r>
        <w:rPr>
          <w:rFonts w:ascii="Arial" w:hAnsi="Arial" w:cs="Arial"/>
          <w:b/>
          <w:bCs/>
          <w:sz w:val="24"/>
          <w:szCs w:val="24"/>
        </w:rPr>
        <w:t>Country data</w:t>
      </w:r>
    </w:p>
    <w:p w:rsidR="00071D62" w:rsidRPr="00B16204" w:rsidRDefault="00071D62" w:rsidP="00771258">
      <w:pPr>
        <w:jc w:val="left"/>
        <w:rPr>
          <w:rFonts w:ascii="Arial" w:hAnsi="Arial" w:cs="Arial"/>
          <w:sz w:val="24"/>
          <w:szCs w:val="24"/>
        </w:rPr>
      </w:pPr>
    </w:p>
    <w:p w:rsidR="00071D62" w:rsidRPr="00B16204" w:rsidRDefault="00071D62" w:rsidP="00771258">
      <w:pPr>
        <w:jc w:val="left"/>
        <w:rPr>
          <w:rFonts w:ascii="Arial" w:hAnsi="Arial" w:cs="Arial"/>
          <w:sz w:val="24"/>
          <w:szCs w:val="24"/>
        </w:rPr>
      </w:pPr>
      <w:r>
        <w:rPr>
          <w:rFonts w:ascii="Arial" w:hAnsi="Arial" w:cs="Arial"/>
          <w:sz w:val="24"/>
          <w:szCs w:val="24"/>
        </w:rPr>
        <w:t>As at 30 July 2011</w:t>
      </w:r>
    </w:p>
    <w:p w:rsidR="00071D62" w:rsidRPr="00B16204" w:rsidRDefault="00071D62" w:rsidP="00771258">
      <w:pPr>
        <w:jc w:val="left"/>
        <w:rPr>
          <w:rFonts w:ascii="Arial" w:hAnsi="Arial" w:cs="Arial"/>
          <w:sz w:val="24"/>
          <w:szCs w:val="24"/>
        </w:rPr>
      </w:pPr>
    </w:p>
    <w:tbl>
      <w:tblPr>
        <w:tblW w:w="46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7"/>
        <w:gridCol w:w="2143"/>
        <w:gridCol w:w="2126"/>
        <w:gridCol w:w="2126"/>
      </w:tblGrid>
      <w:tr w:rsidR="00071D62" w:rsidRPr="00791B66">
        <w:tc>
          <w:tcPr>
            <w:tcW w:w="1475" w:type="pct"/>
          </w:tcPr>
          <w:p w:rsidR="00071D62" w:rsidRPr="00B16204" w:rsidRDefault="00071D62" w:rsidP="00771258">
            <w:pPr>
              <w:jc w:val="left"/>
              <w:rPr>
                <w:rFonts w:ascii="Arial" w:hAnsi="Arial" w:cs="Arial"/>
                <w:b/>
                <w:bCs/>
                <w:sz w:val="24"/>
                <w:szCs w:val="24"/>
              </w:rPr>
            </w:pPr>
          </w:p>
        </w:tc>
        <w:tc>
          <w:tcPr>
            <w:tcW w:w="1181" w:type="pct"/>
          </w:tcPr>
          <w:p w:rsidR="00071D62" w:rsidRPr="00791B66" w:rsidRDefault="00071D62" w:rsidP="00771258">
            <w:pPr>
              <w:jc w:val="right"/>
              <w:rPr>
                <w:rFonts w:ascii="Arial" w:hAnsi="Arial" w:cs="Arial"/>
                <w:b/>
                <w:bCs/>
                <w:sz w:val="24"/>
                <w:szCs w:val="24"/>
              </w:rPr>
            </w:pPr>
            <w:r>
              <w:rPr>
                <w:rFonts w:ascii="Arial" w:hAnsi="Arial" w:cs="Arial"/>
                <w:b/>
                <w:bCs/>
                <w:sz w:val="24"/>
                <w:szCs w:val="24"/>
              </w:rPr>
              <w:t>Store nu</w:t>
            </w:r>
            <w:r w:rsidRPr="00695E47">
              <w:rPr>
                <w:rFonts w:ascii="Arial" w:hAnsi="Arial" w:cs="Arial"/>
                <w:b/>
                <w:bCs/>
                <w:sz w:val="24"/>
                <w:szCs w:val="24"/>
              </w:rPr>
              <w:t>m</w:t>
            </w:r>
            <w:r w:rsidRPr="00791B66">
              <w:rPr>
                <w:rFonts w:ascii="Arial" w:hAnsi="Arial" w:cs="Arial"/>
                <w:b/>
                <w:bCs/>
                <w:sz w:val="24"/>
                <w:szCs w:val="24"/>
              </w:rPr>
              <w:t>bers</w:t>
            </w:r>
          </w:p>
        </w:tc>
        <w:tc>
          <w:tcPr>
            <w:tcW w:w="1172" w:type="pct"/>
          </w:tcPr>
          <w:p w:rsidR="00071D62" w:rsidRPr="00791B66" w:rsidRDefault="00071D62" w:rsidP="00771258">
            <w:pPr>
              <w:jc w:val="right"/>
              <w:rPr>
                <w:rFonts w:ascii="Arial" w:hAnsi="Arial" w:cs="Arial"/>
                <w:b/>
                <w:bCs/>
                <w:sz w:val="24"/>
                <w:szCs w:val="24"/>
              </w:rPr>
            </w:pPr>
            <w:r w:rsidRPr="00791B66">
              <w:rPr>
                <w:rFonts w:ascii="Arial" w:hAnsi="Arial" w:cs="Arial"/>
                <w:b/>
                <w:bCs/>
                <w:sz w:val="24"/>
                <w:szCs w:val="24"/>
              </w:rPr>
              <w:t>Selling space</w:t>
            </w:r>
          </w:p>
          <w:p w:rsidR="00071D62" w:rsidRPr="00791B66" w:rsidRDefault="00071D62" w:rsidP="00771258">
            <w:pPr>
              <w:jc w:val="right"/>
              <w:rPr>
                <w:rFonts w:ascii="Arial" w:hAnsi="Arial" w:cs="Arial"/>
                <w:b/>
                <w:bCs/>
                <w:sz w:val="24"/>
                <w:szCs w:val="24"/>
              </w:rPr>
            </w:pPr>
            <w:r w:rsidRPr="00791B66">
              <w:rPr>
                <w:rFonts w:ascii="Arial" w:hAnsi="Arial" w:cs="Arial"/>
                <w:b/>
                <w:bCs/>
                <w:sz w:val="24"/>
                <w:szCs w:val="24"/>
              </w:rPr>
              <w:t>(000s sq.m.)</w:t>
            </w:r>
          </w:p>
        </w:tc>
        <w:tc>
          <w:tcPr>
            <w:tcW w:w="1172" w:type="pct"/>
          </w:tcPr>
          <w:p w:rsidR="00071D62" w:rsidRPr="00791B66" w:rsidRDefault="00071D62" w:rsidP="00771258">
            <w:pPr>
              <w:jc w:val="right"/>
              <w:rPr>
                <w:rFonts w:ascii="Arial" w:hAnsi="Arial" w:cs="Arial"/>
                <w:b/>
                <w:bCs/>
                <w:sz w:val="24"/>
                <w:szCs w:val="24"/>
              </w:rPr>
            </w:pPr>
            <w:r w:rsidRPr="00791B66">
              <w:rPr>
                <w:rFonts w:ascii="Arial" w:hAnsi="Arial" w:cs="Arial"/>
                <w:b/>
                <w:bCs/>
                <w:sz w:val="24"/>
                <w:szCs w:val="24"/>
              </w:rPr>
              <w:t>Employees</w:t>
            </w:r>
          </w:p>
          <w:p w:rsidR="00071D62" w:rsidRPr="00791B66" w:rsidRDefault="00071D62" w:rsidP="00771258">
            <w:pPr>
              <w:jc w:val="right"/>
              <w:rPr>
                <w:rFonts w:ascii="Arial" w:hAnsi="Arial" w:cs="Arial"/>
                <w:b/>
                <w:bCs/>
                <w:sz w:val="24"/>
                <w:szCs w:val="24"/>
              </w:rPr>
            </w:pPr>
            <w:r w:rsidRPr="00791B66">
              <w:rPr>
                <w:rFonts w:ascii="Arial" w:hAnsi="Arial" w:cs="Arial"/>
                <w:b/>
                <w:bCs/>
                <w:sz w:val="24"/>
                <w:szCs w:val="24"/>
              </w:rPr>
              <w:t>(FTE)</w:t>
            </w:r>
          </w:p>
        </w:tc>
      </w:tr>
      <w:tr w:rsidR="00071D62" w:rsidRPr="00791B66">
        <w:tc>
          <w:tcPr>
            <w:tcW w:w="1475" w:type="pct"/>
            <w:tcBorders>
              <w:bottom w:val="nil"/>
            </w:tcBorders>
          </w:tcPr>
          <w:p w:rsidR="00071D62" w:rsidRPr="00791B66" w:rsidRDefault="00071D62" w:rsidP="00771258">
            <w:pPr>
              <w:jc w:val="left"/>
              <w:rPr>
                <w:rFonts w:ascii="Arial" w:hAnsi="Arial" w:cs="Arial"/>
                <w:sz w:val="24"/>
                <w:szCs w:val="24"/>
              </w:rPr>
            </w:pPr>
            <w:r w:rsidRPr="00791B66">
              <w:rPr>
                <w:rFonts w:ascii="Arial" w:hAnsi="Arial" w:cs="Arial"/>
                <w:sz w:val="24"/>
                <w:szCs w:val="24"/>
              </w:rPr>
              <w:t>Castorama</w:t>
            </w:r>
            <w:r w:rsidRPr="00791B66" w:rsidDel="00CC3AB5">
              <w:rPr>
                <w:rFonts w:ascii="Arial" w:hAnsi="Arial" w:cs="Arial"/>
                <w:sz w:val="24"/>
                <w:szCs w:val="24"/>
              </w:rPr>
              <w:t xml:space="preserve"> </w:t>
            </w:r>
          </w:p>
        </w:tc>
        <w:tc>
          <w:tcPr>
            <w:tcW w:w="1181" w:type="pct"/>
            <w:tcBorders>
              <w:bottom w:val="nil"/>
            </w:tcBorders>
          </w:tcPr>
          <w:p w:rsidR="00071D62" w:rsidRPr="00791B66" w:rsidRDefault="00071D62" w:rsidP="00771258">
            <w:pPr>
              <w:jc w:val="right"/>
              <w:rPr>
                <w:rFonts w:ascii="Arial" w:hAnsi="Arial" w:cs="Arial"/>
                <w:sz w:val="24"/>
                <w:szCs w:val="24"/>
              </w:rPr>
            </w:pPr>
            <w:r>
              <w:rPr>
                <w:rFonts w:ascii="Arial" w:hAnsi="Arial" w:cs="Arial"/>
                <w:sz w:val="24"/>
                <w:szCs w:val="24"/>
              </w:rPr>
              <w:t>102</w:t>
            </w:r>
          </w:p>
        </w:tc>
        <w:tc>
          <w:tcPr>
            <w:tcW w:w="1172" w:type="pct"/>
            <w:tcBorders>
              <w:bottom w:val="nil"/>
            </w:tcBorders>
          </w:tcPr>
          <w:p w:rsidR="00071D62" w:rsidRPr="00791B66" w:rsidRDefault="00071D62" w:rsidP="00771258">
            <w:pPr>
              <w:jc w:val="right"/>
              <w:rPr>
                <w:rFonts w:ascii="Arial" w:hAnsi="Arial" w:cs="Arial"/>
                <w:sz w:val="24"/>
                <w:szCs w:val="24"/>
              </w:rPr>
            </w:pPr>
            <w:r>
              <w:rPr>
                <w:rFonts w:ascii="Arial" w:hAnsi="Arial" w:cs="Arial"/>
                <w:sz w:val="24"/>
                <w:szCs w:val="24"/>
              </w:rPr>
              <w:t>1,042</w:t>
            </w:r>
          </w:p>
        </w:tc>
        <w:tc>
          <w:tcPr>
            <w:tcW w:w="1172" w:type="pct"/>
            <w:tcBorders>
              <w:bottom w:val="nil"/>
            </w:tcBorders>
          </w:tcPr>
          <w:p w:rsidR="00071D62" w:rsidRPr="00791B66" w:rsidRDefault="00071D62" w:rsidP="00771258">
            <w:pPr>
              <w:jc w:val="right"/>
              <w:rPr>
                <w:rFonts w:ascii="Arial" w:hAnsi="Arial" w:cs="Arial"/>
                <w:sz w:val="24"/>
                <w:szCs w:val="24"/>
              </w:rPr>
            </w:pPr>
            <w:r>
              <w:rPr>
                <w:rFonts w:ascii="Arial" w:hAnsi="Arial" w:cs="Arial"/>
                <w:sz w:val="24"/>
                <w:szCs w:val="24"/>
              </w:rPr>
              <w:t>12,287</w:t>
            </w:r>
          </w:p>
        </w:tc>
      </w:tr>
      <w:tr w:rsidR="00071D62" w:rsidRPr="00791B66">
        <w:tc>
          <w:tcPr>
            <w:tcW w:w="1475" w:type="pct"/>
            <w:tcBorders>
              <w:top w:val="nil"/>
            </w:tcBorders>
          </w:tcPr>
          <w:p w:rsidR="00071D62" w:rsidRPr="00791B66" w:rsidRDefault="00071D62" w:rsidP="00771258">
            <w:pPr>
              <w:jc w:val="left"/>
              <w:rPr>
                <w:rFonts w:ascii="Arial" w:hAnsi="Arial" w:cs="Arial"/>
                <w:sz w:val="24"/>
                <w:szCs w:val="24"/>
              </w:rPr>
            </w:pPr>
            <w:r w:rsidRPr="00791B66">
              <w:rPr>
                <w:rFonts w:ascii="Arial" w:hAnsi="Arial" w:cs="Arial"/>
                <w:sz w:val="24"/>
                <w:szCs w:val="24"/>
              </w:rPr>
              <w:t>Brico Dépôt</w:t>
            </w:r>
          </w:p>
        </w:tc>
        <w:tc>
          <w:tcPr>
            <w:tcW w:w="1181" w:type="pct"/>
            <w:tcBorders>
              <w:top w:val="nil"/>
            </w:tcBorders>
          </w:tcPr>
          <w:p w:rsidR="00071D62" w:rsidRPr="00791B66" w:rsidRDefault="00071D62" w:rsidP="00771258">
            <w:pPr>
              <w:jc w:val="right"/>
              <w:rPr>
                <w:rFonts w:ascii="Arial" w:hAnsi="Arial" w:cs="Arial"/>
                <w:sz w:val="24"/>
                <w:szCs w:val="24"/>
              </w:rPr>
            </w:pPr>
            <w:r>
              <w:rPr>
                <w:rFonts w:ascii="Arial" w:hAnsi="Arial" w:cs="Arial"/>
                <w:sz w:val="24"/>
                <w:szCs w:val="24"/>
              </w:rPr>
              <w:t>102</w:t>
            </w:r>
          </w:p>
        </w:tc>
        <w:tc>
          <w:tcPr>
            <w:tcW w:w="1172" w:type="pct"/>
            <w:tcBorders>
              <w:top w:val="nil"/>
            </w:tcBorders>
          </w:tcPr>
          <w:p w:rsidR="00071D62" w:rsidRPr="00791B66" w:rsidRDefault="00071D62" w:rsidP="00771258">
            <w:pPr>
              <w:jc w:val="right"/>
              <w:rPr>
                <w:rFonts w:ascii="Arial" w:hAnsi="Arial" w:cs="Arial"/>
                <w:sz w:val="24"/>
                <w:szCs w:val="24"/>
              </w:rPr>
            </w:pPr>
            <w:r>
              <w:rPr>
                <w:rFonts w:ascii="Arial" w:hAnsi="Arial" w:cs="Arial"/>
                <w:sz w:val="24"/>
                <w:szCs w:val="24"/>
              </w:rPr>
              <w:t>565</w:t>
            </w:r>
          </w:p>
        </w:tc>
        <w:tc>
          <w:tcPr>
            <w:tcW w:w="1172" w:type="pct"/>
            <w:tcBorders>
              <w:top w:val="nil"/>
            </w:tcBorders>
          </w:tcPr>
          <w:p w:rsidR="00071D62" w:rsidRPr="00791B66" w:rsidRDefault="00071D62" w:rsidP="00771258">
            <w:pPr>
              <w:jc w:val="right"/>
              <w:rPr>
                <w:rFonts w:ascii="Arial" w:hAnsi="Arial" w:cs="Arial"/>
                <w:sz w:val="24"/>
                <w:szCs w:val="24"/>
              </w:rPr>
            </w:pPr>
            <w:r>
              <w:rPr>
                <w:rFonts w:ascii="Arial" w:hAnsi="Arial" w:cs="Arial"/>
                <w:sz w:val="24"/>
                <w:szCs w:val="24"/>
              </w:rPr>
              <w:t>6,865</w:t>
            </w:r>
          </w:p>
        </w:tc>
      </w:tr>
      <w:tr w:rsidR="00071D62" w:rsidRPr="00791B66">
        <w:tc>
          <w:tcPr>
            <w:tcW w:w="1475" w:type="pct"/>
          </w:tcPr>
          <w:p w:rsidR="00071D62" w:rsidRPr="00791B66" w:rsidRDefault="00071D62" w:rsidP="00771258">
            <w:pPr>
              <w:jc w:val="left"/>
              <w:rPr>
                <w:rFonts w:ascii="Arial" w:hAnsi="Arial" w:cs="Arial"/>
                <w:b/>
                <w:bCs/>
                <w:sz w:val="24"/>
                <w:szCs w:val="24"/>
              </w:rPr>
            </w:pPr>
            <w:r w:rsidRPr="00791B66">
              <w:rPr>
                <w:rFonts w:ascii="Arial" w:hAnsi="Arial" w:cs="Arial"/>
                <w:b/>
                <w:bCs/>
                <w:sz w:val="24"/>
                <w:szCs w:val="24"/>
              </w:rPr>
              <w:t>Total France</w:t>
            </w:r>
          </w:p>
        </w:tc>
        <w:tc>
          <w:tcPr>
            <w:tcW w:w="1181" w:type="pct"/>
          </w:tcPr>
          <w:p w:rsidR="00071D62" w:rsidRPr="00791B66" w:rsidRDefault="00071D62" w:rsidP="00771258">
            <w:pPr>
              <w:jc w:val="right"/>
              <w:rPr>
                <w:rFonts w:ascii="Arial" w:hAnsi="Arial" w:cs="Arial"/>
                <w:b/>
                <w:bCs/>
                <w:sz w:val="24"/>
                <w:szCs w:val="24"/>
              </w:rPr>
            </w:pPr>
            <w:r>
              <w:rPr>
                <w:rFonts w:ascii="Arial" w:hAnsi="Arial" w:cs="Arial"/>
                <w:b/>
                <w:bCs/>
                <w:sz w:val="24"/>
                <w:szCs w:val="24"/>
              </w:rPr>
              <w:t>204</w:t>
            </w:r>
          </w:p>
        </w:tc>
        <w:tc>
          <w:tcPr>
            <w:tcW w:w="1172" w:type="pct"/>
          </w:tcPr>
          <w:p w:rsidR="00071D62" w:rsidRPr="00791B66" w:rsidRDefault="00071D62" w:rsidP="00771258">
            <w:pPr>
              <w:jc w:val="right"/>
              <w:rPr>
                <w:rFonts w:ascii="Arial" w:hAnsi="Arial" w:cs="Arial"/>
                <w:b/>
                <w:bCs/>
                <w:sz w:val="24"/>
                <w:szCs w:val="24"/>
              </w:rPr>
            </w:pPr>
            <w:r>
              <w:rPr>
                <w:rFonts w:ascii="Arial" w:hAnsi="Arial" w:cs="Arial"/>
                <w:b/>
                <w:bCs/>
                <w:sz w:val="24"/>
                <w:szCs w:val="24"/>
              </w:rPr>
              <w:t>1,607</w:t>
            </w:r>
          </w:p>
        </w:tc>
        <w:tc>
          <w:tcPr>
            <w:tcW w:w="1172" w:type="pct"/>
          </w:tcPr>
          <w:p w:rsidR="00071D62" w:rsidRPr="00791B66" w:rsidRDefault="00071D62" w:rsidP="00771258">
            <w:pPr>
              <w:jc w:val="right"/>
              <w:rPr>
                <w:rFonts w:ascii="Arial" w:hAnsi="Arial" w:cs="Arial"/>
                <w:b/>
                <w:bCs/>
                <w:sz w:val="24"/>
                <w:szCs w:val="24"/>
              </w:rPr>
            </w:pPr>
            <w:r>
              <w:rPr>
                <w:rFonts w:ascii="Arial" w:hAnsi="Arial" w:cs="Arial"/>
                <w:b/>
                <w:bCs/>
                <w:sz w:val="24"/>
                <w:szCs w:val="24"/>
              </w:rPr>
              <w:t>19,152</w:t>
            </w:r>
          </w:p>
        </w:tc>
      </w:tr>
      <w:tr w:rsidR="00071D62" w:rsidRPr="00791B66">
        <w:tc>
          <w:tcPr>
            <w:tcW w:w="1475" w:type="pct"/>
            <w:tcBorders>
              <w:top w:val="nil"/>
              <w:bottom w:val="nil"/>
            </w:tcBorders>
          </w:tcPr>
          <w:p w:rsidR="00071D62" w:rsidRPr="00791B66" w:rsidRDefault="00071D62" w:rsidP="00771258">
            <w:pPr>
              <w:jc w:val="left"/>
              <w:rPr>
                <w:rFonts w:ascii="Arial" w:hAnsi="Arial" w:cs="Arial"/>
                <w:sz w:val="24"/>
                <w:szCs w:val="24"/>
              </w:rPr>
            </w:pPr>
            <w:r w:rsidRPr="00791B66">
              <w:rPr>
                <w:rFonts w:ascii="Arial" w:hAnsi="Arial" w:cs="Arial"/>
                <w:sz w:val="24"/>
                <w:szCs w:val="24"/>
              </w:rPr>
              <w:t>B&amp;Q UK &amp; Ireland</w:t>
            </w:r>
            <w:r>
              <w:rPr>
                <w:rFonts w:ascii="Arial" w:hAnsi="Arial" w:cs="Arial"/>
                <w:sz w:val="24"/>
                <w:szCs w:val="24"/>
              </w:rPr>
              <w:t xml:space="preserve"> </w:t>
            </w:r>
            <w:r w:rsidRPr="003152E6">
              <w:rPr>
                <w:rFonts w:ascii="Helvetica" w:hAnsi="Helvetica" w:cs="Helvetica"/>
                <w:i/>
                <w:iCs/>
                <w:sz w:val="24"/>
                <w:szCs w:val="24"/>
                <w:vertAlign w:val="superscript"/>
              </w:rPr>
              <w:t>(</w:t>
            </w:r>
            <w:r>
              <w:rPr>
                <w:rFonts w:ascii="Helvetica" w:hAnsi="Helvetica" w:cs="Helvetica"/>
                <w:i/>
                <w:iCs/>
                <w:sz w:val="24"/>
                <w:szCs w:val="24"/>
                <w:vertAlign w:val="superscript"/>
              </w:rPr>
              <w:t>1</w:t>
            </w:r>
            <w:r w:rsidRPr="003152E6">
              <w:rPr>
                <w:rFonts w:ascii="Helvetica" w:hAnsi="Helvetica" w:cs="Helvetica"/>
                <w:i/>
                <w:iCs/>
                <w:sz w:val="24"/>
                <w:szCs w:val="24"/>
                <w:vertAlign w:val="superscript"/>
              </w:rPr>
              <w:t>)</w:t>
            </w:r>
          </w:p>
        </w:tc>
        <w:tc>
          <w:tcPr>
            <w:tcW w:w="1181" w:type="pct"/>
            <w:tcBorders>
              <w:top w:val="nil"/>
              <w:bottom w:val="nil"/>
            </w:tcBorders>
          </w:tcPr>
          <w:p w:rsidR="00071D62" w:rsidRPr="00791B66" w:rsidRDefault="00071D62" w:rsidP="00771258">
            <w:pPr>
              <w:jc w:val="right"/>
              <w:rPr>
                <w:rFonts w:ascii="Arial" w:hAnsi="Arial" w:cs="Arial"/>
                <w:sz w:val="24"/>
                <w:szCs w:val="24"/>
              </w:rPr>
            </w:pPr>
            <w:r>
              <w:rPr>
                <w:rFonts w:ascii="Arial" w:hAnsi="Arial" w:cs="Arial"/>
                <w:sz w:val="24"/>
                <w:szCs w:val="24"/>
              </w:rPr>
              <w:t>330</w:t>
            </w:r>
          </w:p>
        </w:tc>
        <w:tc>
          <w:tcPr>
            <w:tcW w:w="1172" w:type="pct"/>
            <w:tcBorders>
              <w:top w:val="nil"/>
              <w:bottom w:val="nil"/>
            </w:tcBorders>
          </w:tcPr>
          <w:p w:rsidR="00071D62" w:rsidRPr="00791B66" w:rsidRDefault="00071D62" w:rsidP="00771258">
            <w:pPr>
              <w:jc w:val="right"/>
              <w:rPr>
                <w:rFonts w:ascii="Arial" w:hAnsi="Arial" w:cs="Arial"/>
                <w:sz w:val="24"/>
                <w:szCs w:val="24"/>
              </w:rPr>
            </w:pPr>
            <w:r>
              <w:rPr>
                <w:rFonts w:ascii="Arial" w:hAnsi="Arial" w:cs="Arial"/>
                <w:sz w:val="24"/>
                <w:szCs w:val="24"/>
              </w:rPr>
              <w:t>2,480</w:t>
            </w:r>
          </w:p>
        </w:tc>
        <w:tc>
          <w:tcPr>
            <w:tcW w:w="1172" w:type="pct"/>
            <w:tcBorders>
              <w:top w:val="nil"/>
              <w:bottom w:val="nil"/>
            </w:tcBorders>
          </w:tcPr>
          <w:p w:rsidR="00071D62" w:rsidRPr="00791B66" w:rsidRDefault="00071D62" w:rsidP="00771258">
            <w:pPr>
              <w:jc w:val="right"/>
              <w:rPr>
                <w:rFonts w:ascii="Arial" w:hAnsi="Arial" w:cs="Arial"/>
                <w:sz w:val="24"/>
                <w:szCs w:val="24"/>
              </w:rPr>
            </w:pPr>
            <w:r>
              <w:rPr>
                <w:rFonts w:ascii="Arial" w:hAnsi="Arial" w:cs="Arial"/>
                <w:sz w:val="24"/>
                <w:szCs w:val="24"/>
              </w:rPr>
              <w:t>23,503</w:t>
            </w:r>
          </w:p>
        </w:tc>
      </w:tr>
      <w:tr w:rsidR="00071D62" w:rsidRPr="00791B66">
        <w:tc>
          <w:tcPr>
            <w:tcW w:w="1475" w:type="pct"/>
            <w:tcBorders>
              <w:top w:val="nil"/>
            </w:tcBorders>
          </w:tcPr>
          <w:p w:rsidR="00071D62" w:rsidRPr="00791B66" w:rsidRDefault="00071D62" w:rsidP="00771258">
            <w:pPr>
              <w:jc w:val="left"/>
              <w:rPr>
                <w:rFonts w:ascii="Arial" w:hAnsi="Arial" w:cs="Arial"/>
                <w:sz w:val="24"/>
                <w:szCs w:val="24"/>
              </w:rPr>
            </w:pPr>
            <w:r w:rsidRPr="00791B66">
              <w:rPr>
                <w:rFonts w:ascii="Arial" w:hAnsi="Arial" w:cs="Arial"/>
                <w:sz w:val="24"/>
                <w:szCs w:val="24"/>
              </w:rPr>
              <w:t xml:space="preserve">Screwfix </w:t>
            </w:r>
          </w:p>
        </w:tc>
        <w:tc>
          <w:tcPr>
            <w:tcW w:w="1181" w:type="pct"/>
            <w:tcBorders>
              <w:top w:val="nil"/>
            </w:tcBorders>
          </w:tcPr>
          <w:p w:rsidR="00071D62" w:rsidRPr="00791B66" w:rsidRDefault="00071D62" w:rsidP="00771258">
            <w:pPr>
              <w:jc w:val="right"/>
              <w:rPr>
                <w:rFonts w:ascii="Arial" w:hAnsi="Arial" w:cs="Arial"/>
                <w:sz w:val="24"/>
                <w:szCs w:val="24"/>
              </w:rPr>
            </w:pPr>
            <w:r>
              <w:rPr>
                <w:rFonts w:ascii="Arial" w:hAnsi="Arial" w:cs="Arial"/>
                <w:sz w:val="24"/>
                <w:szCs w:val="24"/>
              </w:rPr>
              <w:t>175</w:t>
            </w:r>
          </w:p>
        </w:tc>
        <w:tc>
          <w:tcPr>
            <w:tcW w:w="1172" w:type="pct"/>
            <w:tcBorders>
              <w:top w:val="nil"/>
            </w:tcBorders>
          </w:tcPr>
          <w:p w:rsidR="00071D62" w:rsidRPr="00791B66" w:rsidRDefault="00071D62" w:rsidP="00771258">
            <w:pPr>
              <w:jc w:val="right"/>
              <w:rPr>
                <w:rFonts w:ascii="Arial" w:hAnsi="Arial" w:cs="Arial"/>
                <w:sz w:val="24"/>
                <w:szCs w:val="24"/>
              </w:rPr>
            </w:pPr>
            <w:r>
              <w:rPr>
                <w:rFonts w:ascii="Arial" w:hAnsi="Arial" w:cs="Arial"/>
                <w:sz w:val="24"/>
                <w:szCs w:val="24"/>
              </w:rPr>
              <w:t>14</w:t>
            </w:r>
          </w:p>
        </w:tc>
        <w:tc>
          <w:tcPr>
            <w:tcW w:w="1172" w:type="pct"/>
            <w:tcBorders>
              <w:top w:val="nil"/>
            </w:tcBorders>
          </w:tcPr>
          <w:p w:rsidR="00071D62" w:rsidRPr="00791B66" w:rsidRDefault="00071D62" w:rsidP="00771258">
            <w:pPr>
              <w:jc w:val="right"/>
              <w:rPr>
                <w:rFonts w:ascii="Arial" w:hAnsi="Arial" w:cs="Arial"/>
                <w:sz w:val="24"/>
                <w:szCs w:val="24"/>
              </w:rPr>
            </w:pPr>
            <w:r>
              <w:rPr>
                <w:rFonts w:ascii="Arial" w:hAnsi="Arial" w:cs="Arial"/>
                <w:sz w:val="24"/>
                <w:szCs w:val="24"/>
              </w:rPr>
              <w:t>3,087</w:t>
            </w:r>
          </w:p>
        </w:tc>
      </w:tr>
      <w:tr w:rsidR="00071D62" w:rsidRPr="00791B66">
        <w:tc>
          <w:tcPr>
            <w:tcW w:w="1475" w:type="pct"/>
          </w:tcPr>
          <w:p w:rsidR="00071D62" w:rsidRPr="00791B66" w:rsidRDefault="00071D62" w:rsidP="00771258">
            <w:pPr>
              <w:jc w:val="left"/>
              <w:rPr>
                <w:rFonts w:ascii="Arial" w:hAnsi="Arial" w:cs="Arial"/>
                <w:b/>
                <w:bCs/>
                <w:sz w:val="24"/>
                <w:szCs w:val="24"/>
              </w:rPr>
            </w:pPr>
            <w:r w:rsidRPr="00791B66">
              <w:rPr>
                <w:rFonts w:ascii="Arial" w:hAnsi="Arial" w:cs="Arial"/>
                <w:b/>
                <w:bCs/>
                <w:sz w:val="24"/>
                <w:szCs w:val="24"/>
              </w:rPr>
              <w:t>Total UK &amp; Ireland</w:t>
            </w:r>
          </w:p>
        </w:tc>
        <w:tc>
          <w:tcPr>
            <w:tcW w:w="1181" w:type="pct"/>
          </w:tcPr>
          <w:p w:rsidR="00071D62" w:rsidRPr="00791B66" w:rsidRDefault="00071D62" w:rsidP="00771258">
            <w:pPr>
              <w:jc w:val="right"/>
              <w:rPr>
                <w:rFonts w:ascii="Arial" w:hAnsi="Arial" w:cs="Arial"/>
                <w:b/>
                <w:bCs/>
                <w:sz w:val="24"/>
                <w:szCs w:val="24"/>
              </w:rPr>
            </w:pPr>
            <w:r>
              <w:rPr>
                <w:rFonts w:ascii="Arial" w:hAnsi="Arial" w:cs="Arial"/>
                <w:b/>
                <w:bCs/>
                <w:sz w:val="24"/>
                <w:szCs w:val="24"/>
              </w:rPr>
              <w:t>505</w:t>
            </w:r>
          </w:p>
        </w:tc>
        <w:tc>
          <w:tcPr>
            <w:tcW w:w="1172" w:type="pct"/>
          </w:tcPr>
          <w:p w:rsidR="00071D62" w:rsidRPr="00791B66" w:rsidRDefault="00071D62" w:rsidP="00771258">
            <w:pPr>
              <w:jc w:val="right"/>
              <w:rPr>
                <w:rFonts w:ascii="Arial" w:hAnsi="Arial" w:cs="Arial"/>
                <w:b/>
                <w:bCs/>
                <w:sz w:val="24"/>
                <w:szCs w:val="24"/>
              </w:rPr>
            </w:pPr>
            <w:r>
              <w:rPr>
                <w:rFonts w:ascii="Arial" w:hAnsi="Arial" w:cs="Arial"/>
                <w:b/>
                <w:bCs/>
                <w:sz w:val="24"/>
                <w:szCs w:val="24"/>
              </w:rPr>
              <w:t>2,494</w:t>
            </w:r>
          </w:p>
        </w:tc>
        <w:tc>
          <w:tcPr>
            <w:tcW w:w="1172" w:type="pct"/>
          </w:tcPr>
          <w:p w:rsidR="00071D62" w:rsidRPr="00791B66" w:rsidRDefault="00071D62" w:rsidP="00771258">
            <w:pPr>
              <w:jc w:val="right"/>
              <w:rPr>
                <w:rFonts w:ascii="Arial" w:hAnsi="Arial" w:cs="Arial"/>
                <w:b/>
                <w:bCs/>
                <w:sz w:val="24"/>
                <w:szCs w:val="24"/>
              </w:rPr>
            </w:pPr>
            <w:r>
              <w:rPr>
                <w:rFonts w:ascii="Arial" w:hAnsi="Arial" w:cs="Arial"/>
                <w:b/>
                <w:bCs/>
                <w:sz w:val="24"/>
                <w:szCs w:val="24"/>
              </w:rPr>
              <w:t>26,590</w:t>
            </w:r>
          </w:p>
        </w:tc>
      </w:tr>
      <w:tr w:rsidR="00071D62" w:rsidRPr="00791B66">
        <w:tc>
          <w:tcPr>
            <w:tcW w:w="1475" w:type="pct"/>
            <w:tcBorders>
              <w:top w:val="nil"/>
              <w:bottom w:val="nil"/>
            </w:tcBorders>
          </w:tcPr>
          <w:p w:rsidR="00071D62" w:rsidRPr="00791B66" w:rsidRDefault="00071D62" w:rsidP="00771258">
            <w:pPr>
              <w:jc w:val="left"/>
              <w:rPr>
                <w:rFonts w:ascii="Arial" w:hAnsi="Arial" w:cs="Arial"/>
                <w:sz w:val="24"/>
                <w:szCs w:val="24"/>
              </w:rPr>
            </w:pPr>
            <w:r w:rsidRPr="00791B66">
              <w:rPr>
                <w:rFonts w:ascii="Arial" w:hAnsi="Arial" w:cs="Arial"/>
                <w:sz w:val="24"/>
                <w:szCs w:val="24"/>
              </w:rPr>
              <w:t>Poland</w:t>
            </w:r>
          </w:p>
        </w:tc>
        <w:tc>
          <w:tcPr>
            <w:tcW w:w="1181" w:type="pct"/>
            <w:tcBorders>
              <w:top w:val="nil"/>
              <w:bottom w:val="nil"/>
            </w:tcBorders>
          </w:tcPr>
          <w:p w:rsidR="00071D62" w:rsidRPr="00791B66" w:rsidRDefault="00071D62" w:rsidP="00771258">
            <w:pPr>
              <w:jc w:val="right"/>
              <w:rPr>
                <w:rFonts w:ascii="Arial" w:hAnsi="Arial" w:cs="Arial"/>
                <w:sz w:val="24"/>
                <w:szCs w:val="24"/>
              </w:rPr>
            </w:pPr>
            <w:r>
              <w:rPr>
                <w:rFonts w:ascii="Arial" w:hAnsi="Arial" w:cs="Arial"/>
                <w:sz w:val="24"/>
                <w:szCs w:val="24"/>
              </w:rPr>
              <w:t>61</w:t>
            </w:r>
          </w:p>
        </w:tc>
        <w:tc>
          <w:tcPr>
            <w:tcW w:w="1172" w:type="pct"/>
            <w:tcBorders>
              <w:top w:val="nil"/>
              <w:bottom w:val="nil"/>
            </w:tcBorders>
          </w:tcPr>
          <w:p w:rsidR="00071D62" w:rsidRPr="00791B66" w:rsidRDefault="00071D62" w:rsidP="00771258">
            <w:pPr>
              <w:jc w:val="right"/>
              <w:rPr>
                <w:rFonts w:ascii="Arial" w:hAnsi="Arial" w:cs="Arial"/>
                <w:sz w:val="24"/>
                <w:szCs w:val="24"/>
              </w:rPr>
            </w:pPr>
            <w:r>
              <w:rPr>
                <w:rFonts w:ascii="Arial" w:hAnsi="Arial" w:cs="Arial"/>
                <w:sz w:val="24"/>
                <w:szCs w:val="24"/>
              </w:rPr>
              <w:t>455</w:t>
            </w:r>
          </w:p>
        </w:tc>
        <w:tc>
          <w:tcPr>
            <w:tcW w:w="1172" w:type="pct"/>
            <w:tcBorders>
              <w:top w:val="nil"/>
              <w:bottom w:val="nil"/>
            </w:tcBorders>
          </w:tcPr>
          <w:p w:rsidR="00071D62" w:rsidRPr="00791B66" w:rsidRDefault="00071D62" w:rsidP="00771258">
            <w:pPr>
              <w:jc w:val="right"/>
              <w:rPr>
                <w:rFonts w:ascii="Arial" w:hAnsi="Arial" w:cs="Arial"/>
                <w:sz w:val="24"/>
                <w:szCs w:val="24"/>
              </w:rPr>
            </w:pPr>
            <w:r>
              <w:rPr>
                <w:rFonts w:ascii="Arial" w:hAnsi="Arial" w:cs="Arial"/>
                <w:sz w:val="24"/>
                <w:szCs w:val="24"/>
              </w:rPr>
              <w:t>9,919</w:t>
            </w:r>
          </w:p>
        </w:tc>
      </w:tr>
      <w:tr w:rsidR="00071D62" w:rsidRPr="00791B66">
        <w:tc>
          <w:tcPr>
            <w:tcW w:w="1475" w:type="pct"/>
            <w:tcBorders>
              <w:top w:val="nil"/>
              <w:bottom w:val="nil"/>
            </w:tcBorders>
          </w:tcPr>
          <w:p w:rsidR="00071D62" w:rsidRPr="00791B66" w:rsidRDefault="00071D62" w:rsidP="00771258">
            <w:pPr>
              <w:jc w:val="left"/>
              <w:rPr>
                <w:rFonts w:ascii="Arial" w:hAnsi="Arial" w:cs="Arial"/>
                <w:sz w:val="24"/>
                <w:szCs w:val="24"/>
                <w:lang w:val="it-IT"/>
              </w:rPr>
            </w:pPr>
            <w:r w:rsidRPr="00791B66">
              <w:rPr>
                <w:rFonts w:ascii="Arial" w:hAnsi="Arial" w:cs="Arial"/>
                <w:sz w:val="24"/>
                <w:szCs w:val="24"/>
                <w:lang w:val="it-IT"/>
              </w:rPr>
              <w:t>China</w:t>
            </w:r>
          </w:p>
        </w:tc>
        <w:tc>
          <w:tcPr>
            <w:tcW w:w="1181" w:type="pct"/>
            <w:tcBorders>
              <w:top w:val="nil"/>
              <w:bottom w:val="nil"/>
            </w:tcBorders>
          </w:tcPr>
          <w:p w:rsidR="00071D62" w:rsidRPr="00791B66" w:rsidRDefault="00071D62" w:rsidP="00771258">
            <w:pPr>
              <w:jc w:val="right"/>
              <w:rPr>
                <w:rFonts w:ascii="Arial" w:hAnsi="Arial" w:cs="Arial"/>
                <w:sz w:val="24"/>
                <w:szCs w:val="24"/>
              </w:rPr>
            </w:pPr>
            <w:r>
              <w:rPr>
                <w:rFonts w:ascii="Arial" w:hAnsi="Arial" w:cs="Arial"/>
                <w:sz w:val="24"/>
                <w:szCs w:val="24"/>
              </w:rPr>
              <w:t>40</w:t>
            </w:r>
          </w:p>
        </w:tc>
        <w:tc>
          <w:tcPr>
            <w:tcW w:w="1172" w:type="pct"/>
            <w:tcBorders>
              <w:top w:val="nil"/>
              <w:bottom w:val="nil"/>
            </w:tcBorders>
          </w:tcPr>
          <w:p w:rsidR="00071D62" w:rsidRPr="00791B66" w:rsidRDefault="00071D62" w:rsidP="00771258">
            <w:pPr>
              <w:jc w:val="right"/>
              <w:rPr>
                <w:rFonts w:ascii="Arial" w:hAnsi="Arial" w:cs="Arial"/>
                <w:sz w:val="24"/>
                <w:szCs w:val="24"/>
              </w:rPr>
            </w:pPr>
            <w:r>
              <w:rPr>
                <w:rFonts w:ascii="Arial" w:hAnsi="Arial" w:cs="Arial"/>
                <w:sz w:val="24"/>
                <w:szCs w:val="24"/>
              </w:rPr>
              <w:t>333</w:t>
            </w:r>
          </w:p>
        </w:tc>
        <w:tc>
          <w:tcPr>
            <w:tcW w:w="1172" w:type="pct"/>
            <w:tcBorders>
              <w:top w:val="nil"/>
              <w:bottom w:val="nil"/>
            </w:tcBorders>
          </w:tcPr>
          <w:p w:rsidR="00071D62" w:rsidRPr="00791B66" w:rsidRDefault="00071D62" w:rsidP="00771258">
            <w:pPr>
              <w:jc w:val="right"/>
              <w:rPr>
                <w:rFonts w:ascii="Arial" w:hAnsi="Arial" w:cs="Arial"/>
                <w:sz w:val="24"/>
                <w:szCs w:val="24"/>
              </w:rPr>
            </w:pPr>
            <w:r>
              <w:rPr>
                <w:rFonts w:ascii="Arial" w:hAnsi="Arial" w:cs="Arial"/>
                <w:sz w:val="24"/>
                <w:szCs w:val="24"/>
              </w:rPr>
              <w:t>5,307</w:t>
            </w:r>
          </w:p>
        </w:tc>
      </w:tr>
      <w:tr w:rsidR="00071D62" w:rsidRPr="00791B66">
        <w:tc>
          <w:tcPr>
            <w:tcW w:w="1475" w:type="pct"/>
            <w:tcBorders>
              <w:top w:val="nil"/>
            </w:tcBorders>
          </w:tcPr>
          <w:p w:rsidR="00071D62" w:rsidRPr="00791B66" w:rsidRDefault="00071D62" w:rsidP="00771258">
            <w:pPr>
              <w:jc w:val="left"/>
              <w:rPr>
                <w:rFonts w:ascii="Arial" w:hAnsi="Arial" w:cs="Arial"/>
                <w:sz w:val="24"/>
                <w:szCs w:val="24"/>
                <w:lang w:val="it-IT"/>
              </w:rPr>
            </w:pPr>
            <w:r w:rsidRPr="00791B66">
              <w:rPr>
                <w:rFonts w:ascii="Arial" w:hAnsi="Arial" w:cs="Arial"/>
                <w:sz w:val="24"/>
                <w:szCs w:val="24"/>
                <w:lang w:val="it-IT"/>
              </w:rPr>
              <w:t>Spain</w:t>
            </w:r>
          </w:p>
          <w:p w:rsidR="00071D62" w:rsidRPr="00791B66" w:rsidRDefault="00071D62" w:rsidP="00771258">
            <w:pPr>
              <w:jc w:val="left"/>
              <w:rPr>
                <w:rFonts w:ascii="Arial" w:hAnsi="Arial" w:cs="Arial"/>
                <w:sz w:val="24"/>
                <w:szCs w:val="24"/>
                <w:lang w:val="it-IT"/>
              </w:rPr>
            </w:pPr>
            <w:r w:rsidRPr="00791B66">
              <w:rPr>
                <w:rFonts w:ascii="Arial" w:hAnsi="Arial" w:cs="Arial"/>
                <w:sz w:val="24"/>
                <w:szCs w:val="24"/>
                <w:lang w:val="it-IT"/>
              </w:rPr>
              <w:t>Russia</w:t>
            </w:r>
          </w:p>
          <w:p w:rsidR="00071D62" w:rsidRPr="00791B66" w:rsidRDefault="00071D62" w:rsidP="00771258">
            <w:pPr>
              <w:jc w:val="left"/>
              <w:rPr>
                <w:rFonts w:ascii="Arial" w:hAnsi="Arial" w:cs="Arial"/>
                <w:sz w:val="24"/>
                <w:szCs w:val="24"/>
                <w:lang w:val="it-IT"/>
              </w:rPr>
            </w:pPr>
            <w:r w:rsidRPr="00791B66">
              <w:rPr>
                <w:rFonts w:ascii="Arial" w:hAnsi="Arial" w:cs="Arial"/>
                <w:sz w:val="24"/>
                <w:szCs w:val="24"/>
                <w:lang w:val="it-IT"/>
              </w:rPr>
              <w:t>Turkey JV</w:t>
            </w:r>
          </w:p>
        </w:tc>
        <w:tc>
          <w:tcPr>
            <w:tcW w:w="1181" w:type="pct"/>
            <w:tcBorders>
              <w:top w:val="nil"/>
            </w:tcBorders>
          </w:tcPr>
          <w:p w:rsidR="00071D62" w:rsidRDefault="00071D62" w:rsidP="00771258">
            <w:pPr>
              <w:jc w:val="right"/>
              <w:rPr>
                <w:rFonts w:ascii="Arial" w:hAnsi="Arial" w:cs="Arial"/>
                <w:sz w:val="24"/>
                <w:szCs w:val="24"/>
                <w:lang w:val="it-IT"/>
              </w:rPr>
            </w:pPr>
            <w:r>
              <w:rPr>
                <w:rFonts w:ascii="Arial" w:hAnsi="Arial" w:cs="Arial"/>
                <w:sz w:val="24"/>
                <w:szCs w:val="24"/>
                <w:lang w:val="it-IT"/>
              </w:rPr>
              <w:t>17</w:t>
            </w:r>
          </w:p>
          <w:p w:rsidR="00071D62" w:rsidRDefault="00071D62" w:rsidP="00771258">
            <w:pPr>
              <w:jc w:val="right"/>
              <w:rPr>
                <w:rFonts w:ascii="Arial" w:hAnsi="Arial" w:cs="Arial"/>
                <w:sz w:val="24"/>
                <w:szCs w:val="24"/>
                <w:lang w:val="it-IT"/>
              </w:rPr>
            </w:pPr>
            <w:r>
              <w:rPr>
                <w:rFonts w:ascii="Arial" w:hAnsi="Arial" w:cs="Arial"/>
                <w:sz w:val="24"/>
                <w:szCs w:val="24"/>
                <w:lang w:val="it-IT"/>
              </w:rPr>
              <w:t>16</w:t>
            </w:r>
          </w:p>
          <w:p w:rsidR="00071D62" w:rsidRPr="00791B66" w:rsidRDefault="00071D62" w:rsidP="00771258">
            <w:pPr>
              <w:jc w:val="right"/>
              <w:rPr>
                <w:rFonts w:ascii="Arial" w:hAnsi="Arial" w:cs="Arial"/>
                <w:sz w:val="24"/>
                <w:szCs w:val="24"/>
                <w:lang w:val="it-IT"/>
              </w:rPr>
            </w:pPr>
            <w:r>
              <w:rPr>
                <w:rFonts w:ascii="Arial" w:hAnsi="Arial" w:cs="Arial"/>
                <w:sz w:val="24"/>
                <w:szCs w:val="24"/>
                <w:lang w:val="it-IT"/>
              </w:rPr>
              <w:t>32</w:t>
            </w:r>
          </w:p>
        </w:tc>
        <w:tc>
          <w:tcPr>
            <w:tcW w:w="1172" w:type="pct"/>
            <w:tcBorders>
              <w:top w:val="nil"/>
            </w:tcBorders>
          </w:tcPr>
          <w:p w:rsidR="00071D62" w:rsidRDefault="00071D62" w:rsidP="00771258">
            <w:pPr>
              <w:jc w:val="right"/>
              <w:rPr>
                <w:rFonts w:ascii="Arial" w:hAnsi="Arial" w:cs="Arial"/>
                <w:sz w:val="24"/>
                <w:szCs w:val="24"/>
                <w:lang w:val="it-IT"/>
              </w:rPr>
            </w:pPr>
            <w:r>
              <w:rPr>
                <w:rFonts w:ascii="Arial" w:hAnsi="Arial" w:cs="Arial"/>
                <w:sz w:val="24"/>
                <w:szCs w:val="24"/>
                <w:lang w:val="it-IT"/>
              </w:rPr>
              <w:t>100</w:t>
            </w:r>
          </w:p>
          <w:p w:rsidR="00071D62" w:rsidRDefault="00071D62" w:rsidP="00771258">
            <w:pPr>
              <w:jc w:val="right"/>
              <w:rPr>
                <w:rFonts w:ascii="Arial" w:hAnsi="Arial" w:cs="Arial"/>
                <w:sz w:val="24"/>
                <w:szCs w:val="24"/>
                <w:lang w:val="it-IT"/>
              </w:rPr>
            </w:pPr>
            <w:r>
              <w:rPr>
                <w:rFonts w:ascii="Arial" w:hAnsi="Arial" w:cs="Arial"/>
                <w:sz w:val="24"/>
                <w:szCs w:val="24"/>
                <w:lang w:val="it-IT"/>
              </w:rPr>
              <w:t>142</w:t>
            </w:r>
          </w:p>
          <w:p w:rsidR="00071D62" w:rsidRPr="00791B66" w:rsidRDefault="00071D62" w:rsidP="00771258">
            <w:pPr>
              <w:jc w:val="right"/>
              <w:rPr>
                <w:rFonts w:ascii="Arial" w:hAnsi="Arial" w:cs="Arial"/>
                <w:sz w:val="24"/>
                <w:szCs w:val="24"/>
                <w:lang w:val="it-IT"/>
              </w:rPr>
            </w:pPr>
            <w:r>
              <w:rPr>
                <w:rFonts w:ascii="Arial" w:hAnsi="Arial" w:cs="Arial"/>
                <w:sz w:val="24"/>
                <w:szCs w:val="24"/>
                <w:lang w:val="it-IT"/>
              </w:rPr>
              <w:t>169</w:t>
            </w:r>
          </w:p>
        </w:tc>
        <w:tc>
          <w:tcPr>
            <w:tcW w:w="1172" w:type="pct"/>
            <w:tcBorders>
              <w:top w:val="nil"/>
            </w:tcBorders>
          </w:tcPr>
          <w:p w:rsidR="00071D62" w:rsidRDefault="00071D62" w:rsidP="00771258">
            <w:pPr>
              <w:jc w:val="right"/>
              <w:rPr>
                <w:rFonts w:ascii="Arial" w:hAnsi="Arial" w:cs="Arial"/>
                <w:sz w:val="24"/>
                <w:szCs w:val="24"/>
                <w:lang w:val="it-IT"/>
              </w:rPr>
            </w:pPr>
            <w:r>
              <w:rPr>
                <w:rFonts w:ascii="Arial" w:hAnsi="Arial" w:cs="Arial"/>
                <w:sz w:val="24"/>
                <w:szCs w:val="24"/>
                <w:lang w:val="it-IT"/>
              </w:rPr>
              <w:t>981</w:t>
            </w:r>
          </w:p>
          <w:p w:rsidR="00071D62" w:rsidRDefault="00071D62" w:rsidP="00771258">
            <w:pPr>
              <w:jc w:val="right"/>
              <w:rPr>
                <w:rFonts w:ascii="Arial" w:hAnsi="Arial" w:cs="Arial"/>
                <w:sz w:val="24"/>
                <w:szCs w:val="24"/>
                <w:lang w:val="it-IT"/>
              </w:rPr>
            </w:pPr>
            <w:r>
              <w:rPr>
                <w:rFonts w:ascii="Arial" w:hAnsi="Arial" w:cs="Arial"/>
                <w:sz w:val="24"/>
                <w:szCs w:val="24"/>
                <w:lang w:val="it-IT"/>
              </w:rPr>
              <w:t>2,635</w:t>
            </w:r>
          </w:p>
          <w:p w:rsidR="00071D62" w:rsidRPr="00791B66" w:rsidRDefault="00071D62" w:rsidP="00771258">
            <w:pPr>
              <w:jc w:val="right"/>
              <w:rPr>
                <w:rFonts w:ascii="Arial" w:hAnsi="Arial" w:cs="Arial"/>
                <w:sz w:val="24"/>
                <w:szCs w:val="24"/>
                <w:lang w:val="it-IT"/>
              </w:rPr>
            </w:pPr>
            <w:r>
              <w:rPr>
                <w:rFonts w:ascii="Arial" w:hAnsi="Arial" w:cs="Arial"/>
                <w:sz w:val="24"/>
                <w:szCs w:val="24"/>
                <w:lang w:val="it-IT"/>
              </w:rPr>
              <w:t>3,250</w:t>
            </w:r>
          </w:p>
        </w:tc>
      </w:tr>
      <w:tr w:rsidR="00071D62" w:rsidRPr="00791B66">
        <w:tc>
          <w:tcPr>
            <w:tcW w:w="1475" w:type="pct"/>
          </w:tcPr>
          <w:p w:rsidR="00071D62" w:rsidRPr="00791B66" w:rsidRDefault="00071D62" w:rsidP="00771258">
            <w:pPr>
              <w:jc w:val="left"/>
              <w:rPr>
                <w:rFonts w:ascii="Arial" w:hAnsi="Arial" w:cs="Arial"/>
                <w:b/>
                <w:bCs/>
                <w:sz w:val="24"/>
                <w:szCs w:val="24"/>
              </w:rPr>
            </w:pPr>
            <w:r w:rsidRPr="00791B66">
              <w:rPr>
                <w:rFonts w:ascii="Arial" w:hAnsi="Arial" w:cs="Arial"/>
                <w:b/>
                <w:bCs/>
                <w:sz w:val="24"/>
                <w:szCs w:val="24"/>
              </w:rPr>
              <w:t>Total Other International</w:t>
            </w:r>
          </w:p>
        </w:tc>
        <w:tc>
          <w:tcPr>
            <w:tcW w:w="1181" w:type="pct"/>
          </w:tcPr>
          <w:p w:rsidR="00071D62" w:rsidRPr="00791B66" w:rsidRDefault="00071D62" w:rsidP="00771258">
            <w:pPr>
              <w:jc w:val="right"/>
              <w:rPr>
                <w:rFonts w:ascii="Arial" w:hAnsi="Arial" w:cs="Arial"/>
                <w:b/>
                <w:bCs/>
                <w:sz w:val="24"/>
                <w:szCs w:val="24"/>
              </w:rPr>
            </w:pPr>
            <w:r>
              <w:rPr>
                <w:rFonts w:ascii="Arial" w:hAnsi="Arial" w:cs="Arial"/>
                <w:b/>
                <w:bCs/>
                <w:sz w:val="24"/>
                <w:szCs w:val="24"/>
              </w:rPr>
              <w:t>166</w:t>
            </w:r>
          </w:p>
        </w:tc>
        <w:tc>
          <w:tcPr>
            <w:tcW w:w="1172" w:type="pct"/>
          </w:tcPr>
          <w:p w:rsidR="00071D62" w:rsidRPr="00791B66" w:rsidRDefault="00071D62" w:rsidP="00771258">
            <w:pPr>
              <w:jc w:val="right"/>
              <w:rPr>
                <w:rFonts w:ascii="Arial" w:hAnsi="Arial" w:cs="Arial"/>
                <w:b/>
                <w:bCs/>
                <w:sz w:val="24"/>
                <w:szCs w:val="24"/>
              </w:rPr>
            </w:pPr>
            <w:r>
              <w:rPr>
                <w:rFonts w:ascii="Arial" w:hAnsi="Arial" w:cs="Arial"/>
                <w:b/>
                <w:bCs/>
                <w:sz w:val="24"/>
                <w:szCs w:val="24"/>
              </w:rPr>
              <w:t>1,199</w:t>
            </w:r>
          </w:p>
        </w:tc>
        <w:tc>
          <w:tcPr>
            <w:tcW w:w="1172" w:type="pct"/>
          </w:tcPr>
          <w:p w:rsidR="00071D62" w:rsidRPr="00791B66" w:rsidRDefault="00071D62" w:rsidP="00771258">
            <w:pPr>
              <w:jc w:val="right"/>
              <w:rPr>
                <w:rFonts w:ascii="Arial" w:hAnsi="Arial" w:cs="Arial"/>
                <w:b/>
                <w:bCs/>
                <w:sz w:val="24"/>
                <w:szCs w:val="24"/>
              </w:rPr>
            </w:pPr>
            <w:r>
              <w:rPr>
                <w:rFonts w:ascii="Arial" w:hAnsi="Arial" w:cs="Arial"/>
                <w:b/>
                <w:bCs/>
                <w:sz w:val="24"/>
                <w:szCs w:val="24"/>
              </w:rPr>
              <w:t>22,092</w:t>
            </w:r>
          </w:p>
        </w:tc>
      </w:tr>
      <w:tr w:rsidR="00071D62" w:rsidRPr="00791B66">
        <w:tc>
          <w:tcPr>
            <w:tcW w:w="1475" w:type="pct"/>
          </w:tcPr>
          <w:p w:rsidR="00071D62" w:rsidRPr="00791B66" w:rsidRDefault="00071D62" w:rsidP="00771258">
            <w:pPr>
              <w:jc w:val="left"/>
              <w:rPr>
                <w:rFonts w:ascii="Arial" w:hAnsi="Arial" w:cs="Arial"/>
                <w:b/>
                <w:bCs/>
                <w:sz w:val="24"/>
                <w:szCs w:val="24"/>
              </w:rPr>
            </w:pPr>
            <w:r w:rsidRPr="00791B66">
              <w:rPr>
                <w:rFonts w:ascii="Arial" w:hAnsi="Arial" w:cs="Arial"/>
                <w:b/>
                <w:bCs/>
                <w:sz w:val="24"/>
                <w:szCs w:val="24"/>
              </w:rPr>
              <w:t>Total</w:t>
            </w:r>
          </w:p>
        </w:tc>
        <w:tc>
          <w:tcPr>
            <w:tcW w:w="1181" w:type="pct"/>
          </w:tcPr>
          <w:p w:rsidR="00071D62" w:rsidRPr="00791B66" w:rsidRDefault="00071D62" w:rsidP="00771258">
            <w:pPr>
              <w:jc w:val="right"/>
              <w:rPr>
                <w:rFonts w:ascii="Arial" w:hAnsi="Arial" w:cs="Arial"/>
                <w:b/>
                <w:bCs/>
                <w:sz w:val="24"/>
                <w:szCs w:val="24"/>
              </w:rPr>
            </w:pPr>
            <w:r>
              <w:rPr>
                <w:rFonts w:ascii="Arial" w:hAnsi="Arial" w:cs="Arial"/>
                <w:b/>
                <w:bCs/>
                <w:sz w:val="24"/>
                <w:szCs w:val="24"/>
              </w:rPr>
              <w:t>875</w:t>
            </w:r>
          </w:p>
        </w:tc>
        <w:tc>
          <w:tcPr>
            <w:tcW w:w="1172" w:type="pct"/>
          </w:tcPr>
          <w:p w:rsidR="00071D62" w:rsidRPr="00791B66" w:rsidRDefault="00071D62" w:rsidP="00771258">
            <w:pPr>
              <w:jc w:val="right"/>
              <w:rPr>
                <w:rFonts w:ascii="Arial" w:hAnsi="Arial" w:cs="Arial"/>
                <w:b/>
                <w:bCs/>
                <w:sz w:val="24"/>
                <w:szCs w:val="24"/>
              </w:rPr>
            </w:pPr>
            <w:r>
              <w:rPr>
                <w:rFonts w:ascii="Arial" w:hAnsi="Arial" w:cs="Arial"/>
                <w:b/>
                <w:bCs/>
                <w:sz w:val="24"/>
                <w:szCs w:val="24"/>
              </w:rPr>
              <w:t>5,300</w:t>
            </w:r>
          </w:p>
        </w:tc>
        <w:tc>
          <w:tcPr>
            <w:tcW w:w="1172" w:type="pct"/>
          </w:tcPr>
          <w:p w:rsidR="00071D62" w:rsidRPr="00791B66" w:rsidRDefault="00071D62" w:rsidP="00771258">
            <w:pPr>
              <w:jc w:val="right"/>
              <w:rPr>
                <w:rFonts w:ascii="Arial" w:hAnsi="Arial" w:cs="Arial"/>
                <w:b/>
                <w:bCs/>
                <w:sz w:val="24"/>
                <w:szCs w:val="24"/>
              </w:rPr>
            </w:pPr>
            <w:r>
              <w:rPr>
                <w:rFonts w:ascii="Arial" w:hAnsi="Arial" w:cs="Arial"/>
                <w:b/>
                <w:bCs/>
                <w:sz w:val="24"/>
                <w:szCs w:val="24"/>
              </w:rPr>
              <w:t>67,834</w:t>
            </w:r>
          </w:p>
        </w:tc>
      </w:tr>
    </w:tbl>
    <w:p w:rsidR="00071D62" w:rsidRPr="001F052B" w:rsidRDefault="00071D62" w:rsidP="00771258">
      <w:pPr>
        <w:jc w:val="left"/>
        <w:rPr>
          <w:rFonts w:ascii="Arial" w:hAnsi="Arial" w:cs="Arial"/>
          <w:b/>
          <w:bCs/>
          <w:sz w:val="18"/>
          <w:szCs w:val="18"/>
        </w:rPr>
      </w:pPr>
    </w:p>
    <w:p w:rsidR="00071D62" w:rsidRDefault="00071D62" w:rsidP="00781544">
      <w:pPr>
        <w:jc w:val="left"/>
        <w:rPr>
          <w:rFonts w:ascii="Arial" w:hAnsi="Arial" w:cs="Arial"/>
          <w:sz w:val="24"/>
          <w:szCs w:val="24"/>
        </w:rPr>
      </w:pPr>
      <w:r w:rsidRPr="00BF3611">
        <w:rPr>
          <w:rFonts w:ascii="Helvetica" w:hAnsi="Helvetica" w:cs="Helvetica"/>
          <w:i/>
          <w:iCs/>
          <w:sz w:val="24"/>
          <w:szCs w:val="24"/>
          <w:vertAlign w:val="superscript"/>
        </w:rPr>
        <w:t>(</w:t>
      </w:r>
      <w:r>
        <w:rPr>
          <w:rFonts w:ascii="Helvetica" w:hAnsi="Helvetica" w:cs="Helvetica"/>
          <w:i/>
          <w:iCs/>
          <w:sz w:val="24"/>
          <w:szCs w:val="24"/>
          <w:vertAlign w:val="superscript"/>
        </w:rPr>
        <w:t>1</w:t>
      </w:r>
      <w:r w:rsidRPr="00BF3611">
        <w:rPr>
          <w:rFonts w:ascii="Helvetica" w:hAnsi="Helvetica" w:cs="Helvetica"/>
          <w:i/>
          <w:iCs/>
          <w:sz w:val="24"/>
          <w:szCs w:val="24"/>
          <w:vertAlign w:val="superscript"/>
        </w:rPr>
        <w:t>)</w:t>
      </w:r>
      <w:r>
        <w:rPr>
          <w:rFonts w:ascii="Helvetica" w:hAnsi="Helvetica" w:cs="Helvetica"/>
          <w:i/>
          <w:iCs/>
          <w:sz w:val="24"/>
          <w:szCs w:val="24"/>
          <w:vertAlign w:val="superscript"/>
        </w:rPr>
        <w:t xml:space="preserve"> </w:t>
      </w:r>
      <w:r w:rsidRPr="00BF3611">
        <w:rPr>
          <w:rFonts w:ascii="Arial" w:hAnsi="Arial" w:cs="Arial"/>
          <w:i/>
          <w:iCs/>
          <w:sz w:val="18"/>
          <w:szCs w:val="18"/>
        </w:rPr>
        <w:t xml:space="preserve">Excluding </w:t>
      </w:r>
      <w:r>
        <w:rPr>
          <w:rFonts w:ascii="Arial" w:hAnsi="Arial" w:cs="Arial"/>
          <w:i/>
          <w:iCs/>
          <w:sz w:val="18"/>
          <w:szCs w:val="18"/>
        </w:rPr>
        <w:t xml:space="preserve">29 </w:t>
      </w:r>
      <w:r w:rsidRPr="00BF3611">
        <w:rPr>
          <w:rFonts w:ascii="Arial" w:hAnsi="Arial" w:cs="Arial"/>
          <w:i/>
          <w:iCs/>
          <w:sz w:val="18"/>
          <w:szCs w:val="18"/>
        </w:rPr>
        <w:t>recently acquired ex-Focus DIY stores</w:t>
      </w:r>
    </w:p>
    <w:p w:rsidR="00071D62" w:rsidRPr="00791B66" w:rsidRDefault="00071D62" w:rsidP="00781544">
      <w:pPr>
        <w:jc w:val="left"/>
        <w:rPr>
          <w:rFonts w:ascii="Arial" w:hAnsi="Arial" w:cs="Arial"/>
          <w:sz w:val="24"/>
          <w:szCs w:val="24"/>
        </w:rPr>
      </w:pPr>
      <w:r>
        <w:rPr>
          <w:rFonts w:ascii="Arial" w:hAnsi="Arial" w:cs="Arial"/>
          <w:sz w:val="24"/>
          <w:szCs w:val="24"/>
        </w:rPr>
        <w:br w:type="page"/>
      </w:r>
      <w:r>
        <w:rPr>
          <w:rFonts w:ascii="Arial" w:hAnsi="Arial" w:cs="Arial"/>
          <w:b/>
          <w:bCs/>
          <w:sz w:val="24"/>
          <w:szCs w:val="24"/>
        </w:rPr>
        <w:lastRenderedPageBreak/>
        <w:t>Financial review</w:t>
      </w:r>
    </w:p>
    <w:p w:rsidR="00071D62" w:rsidRPr="00791B66" w:rsidRDefault="00071D62" w:rsidP="00321A64">
      <w:pPr>
        <w:tabs>
          <w:tab w:val="right" w:pos="9356"/>
        </w:tabs>
        <w:rPr>
          <w:rFonts w:ascii="Arial" w:hAnsi="Arial" w:cs="Arial"/>
          <w:b/>
          <w:bCs/>
          <w:sz w:val="24"/>
          <w:szCs w:val="24"/>
        </w:rPr>
      </w:pPr>
    </w:p>
    <w:p w:rsidR="00071D62" w:rsidRPr="00014F94" w:rsidRDefault="00071D62" w:rsidP="00995156">
      <w:pPr>
        <w:jc w:val="left"/>
        <w:rPr>
          <w:rFonts w:ascii="Arial" w:hAnsi="Arial" w:cs="Arial"/>
          <w:sz w:val="24"/>
          <w:szCs w:val="24"/>
        </w:rPr>
      </w:pPr>
      <w:r w:rsidRPr="00014F94">
        <w:rPr>
          <w:rFonts w:ascii="Arial" w:hAnsi="Arial" w:cs="Arial"/>
          <w:sz w:val="24"/>
          <w:szCs w:val="24"/>
        </w:rPr>
        <w:t>A summary of the</w:t>
      </w:r>
      <w:r>
        <w:rPr>
          <w:rFonts w:ascii="Arial" w:hAnsi="Arial" w:cs="Arial"/>
          <w:sz w:val="24"/>
          <w:szCs w:val="24"/>
        </w:rPr>
        <w:t xml:space="preserve"> </w:t>
      </w:r>
      <w:r w:rsidRPr="00014F94">
        <w:rPr>
          <w:rFonts w:ascii="Arial" w:hAnsi="Arial" w:cs="Arial"/>
          <w:sz w:val="24"/>
          <w:szCs w:val="24"/>
        </w:rPr>
        <w:t xml:space="preserve">reported financial results for the </w:t>
      </w:r>
      <w:r>
        <w:rPr>
          <w:rFonts w:ascii="Arial" w:hAnsi="Arial" w:cs="Arial"/>
          <w:sz w:val="24"/>
          <w:szCs w:val="24"/>
        </w:rPr>
        <w:t>six months</w:t>
      </w:r>
      <w:r w:rsidRPr="00014F94">
        <w:rPr>
          <w:rFonts w:ascii="Arial" w:hAnsi="Arial" w:cs="Arial"/>
          <w:sz w:val="24"/>
          <w:szCs w:val="24"/>
        </w:rPr>
        <w:t xml:space="preserve"> ended </w:t>
      </w:r>
      <w:r>
        <w:rPr>
          <w:rFonts w:ascii="Arial" w:hAnsi="Arial" w:cs="Arial"/>
          <w:sz w:val="24"/>
          <w:szCs w:val="24"/>
        </w:rPr>
        <w:t>30 July 2011 is set out below:</w:t>
      </w:r>
    </w:p>
    <w:p w:rsidR="00071D62" w:rsidRPr="00014F94" w:rsidRDefault="00071D62" w:rsidP="00995156">
      <w:pPr>
        <w:rPr>
          <w:rFonts w:ascii="Arial" w:hAnsi="Arial" w:cs="Arial"/>
          <w:sz w:val="24"/>
          <w:szCs w:val="24"/>
        </w:rPr>
      </w:pPr>
    </w:p>
    <w:tbl>
      <w:tblPr>
        <w:tblW w:w="4999" w:type="pct"/>
        <w:tblInd w:w="2" w:type="dxa"/>
        <w:tblLook w:val="01E0"/>
      </w:tblPr>
      <w:tblGrid>
        <w:gridCol w:w="5874"/>
        <w:gridCol w:w="1277"/>
        <w:gridCol w:w="1157"/>
        <w:gridCol w:w="1547"/>
      </w:tblGrid>
      <w:tr w:rsidR="00071D62" w:rsidRPr="00995156">
        <w:tc>
          <w:tcPr>
            <w:tcW w:w="2980" w:type="pct"/>
            <w:tcBorders>
              <w:bottom w:val="single" w:sz="4" w:space="0" w:color="auto"/>
            </w:tcBorders>
          </w:tcPr>
          <w:p w:rsidR="00071D62" w:rsidRPr="00995156" w:rsidRDefault="00071D62" w:rsidP="00995156">
            <w:pPr>
              <w:jc w:val="right"/>
              <w:rPr>
                <w:rFonts w:ascii="Arial" w:hAnsi="Arial" w:cs="Arial"/>
                <w:sz w:val="24"/>
                <w:szCs w:val="24"/>
              </w:rPr>
            </w:pPr>
          </w:p>
        </w:tc>
        <w:tc>
          <w:tcPr>
            <w:tcW w:w="648" w:type="pct"/>
            <w:tcBorders>
              <w:bottom w:val="single" w:sz="4" w:space="0" w:color="auto"/>
            </w:tcBorders>
          </w:tcPr>
          <w:p w:rsidR="00071D62" w:rsidRDefault="00071D62" w:rsidP="00995156">
            <w:pPr>
              <w:jc w:val="right"/>
              <w:rPr>
                <w:rFonts w:ascii="Arial" w:hAnsi="Arial" w:cs="Arial"/>
                <w:b/>
                <w:bCs/>
                <w:sz w:val="24"/>
                <w:szCs w:val="24"/>
              </w:rPr>
            </w:pPr>
            <w:r w:rsidRPr="00995156">
              <w:rPr>
                <w:rFonts w:ascii="Arial" w:hAnsi="Arial" w:cs="Arial"/>
                <w:b/>
                <w:bCs/>
                <w:sz w:val="24"/>
                <w:szCs w:val="24"/>
              </w:rPr>
              <w:t>2011/12</w:t>
            </w:r>
          </w:p>
          <w:p w:rsidR="00071D62" w:rsidRPr="00995156" w:rsidRDefault="00071D62" w:rsidP="00995156">
            <w:pPr>
              <w:jc w:val="right"/>
              <w:rPr>
                <w:rFonts w:ascii="Arial" w:hAnsi="Arial" w:cs="Arial"/>
                <w:b/>
                <w:bCs/>
                <w:sz w:val="24"/>
                <w:szCs w:val="24"/>
              </w:rPr>
            </w:pPr>
            <w:r w:rsidRPr="00995156">
              <w:rPr>
                <w:rFonts w:ascii="Arial" w:hAnsi="Arial" w:cs="Arial"/>
                <w:b/>
                <w:bCs/>
                <w:sz w:val="24"/>
                <w:szCs w:val="24"/>
              </w:rPr>
              <w:t>£m</w:t>
            </w:r>
          </w:p>
        </w:tc>
        <w:tc>
          <w:tcPr>
            <w:tcW w:w="587" w:type="pct"/>
            <w:tcBorders>
              <w:bottom w:val="single" w:sz="4" w:space="0" w:color="auto"/>
            </w:tcBorders>
          </w:tcPr>
          <w:p w:rsidR="00071D62" w:rsidRPr="00995156" w:rsidRDefault="00071D62" w:rsidP="00995156">
            <w:pPr>
              <w:jc w:val="right"/>
              <w:rPr>
                <w:rFonts w:ascii="Arial" w:hAnsi="Arial" w:cs="Arial"/>
                <w:sz w:val="24"/>
                <w:szCs w:val="24"/>
              </w:rPr>
            </w:pPr>
            <w:r w:rsidRPr="00995156">
              <w:rPr>
                <w:rFonts w:ascii="Arial" w:hAnsi="Arial" w:cs="Arial"/>
                <w:sz w:val="24"/>
                <w:szCs w:val="24"/>
              </w:rPr>
              <w:t>2010/11</w:t>
            </w:r>
          </w:p>
          <w:p w:rsidR="00071D62" w:rsidRPr="00995156" w:rsidRDefault="00071D62" w:rsidP="00995156">
            <w:pPr>
              <w:tabs>
                <w:tab w:val="center" w:pos="434"/>
                <w:tab w:val="right" w:pos="869"/>
              </w:tabs>
              <w:jc w:val="right"/>
              <w:rPr>
                <w:rFonts w:ascii="Arial" w:hAnsi="Arial" w:cs="Arial"/>
                <w:sz w:val="24"/>
                <w:szCs w:val="24"/>
              </w:rPr>
            </w:pPr>
            <w:r w:rsidRPr="00995156">
              <w:rPr>
                <w:rFonts w:ascii="Arial" w:hAnsi="Arial" w:cs="Arial"/>
                <w:sz w:val="24"/>
                <w:szCs w:val="24"/>
              </w:rPr>
              <w:t>£m</w:t>
            </w:r>
          </w:p>
        </w:tc>
        <w:tc>
          <w:tcPr>
            <w:tcW w:w="785" w:type="pct"/>
            <w:tcBorders>
              <w:bottom w:val="single" w:sz="4" w:space="0" w:color="auto"/>
            </w:tcBorders>
          </w:tcPr>
          <w:p w:rsidR="00071D62" w:rsidRPr="00995156" w:rsidRDefault="00071D62" w:rsidP="00995156">
            <w:pPr>
              <w:jc w:val="right"/>
              <w:rPr>
                <w:rFonts w:ascii="Arial" w:hAnsi="Arial" w:cs="Arial"/>
                <w:sz w:val="24"/>
                <w:szCs w:val="24"/>
              </w:rPr>
            </w:pPr>
            <w:r w:rsidRPr="00995156">
              <w:rPr>
                <w:rFonts w:ascii="Arial" w:hAnsi="Arial" w:cs="Arial"/>
                <w:sz w:val="24"/>
                <w:szCs w:val="24"/>
              </w:rPr>
              <w:t>Increase</w:t>
            </w:r>
          </w:p>
        </w:tc>
      </w:tr>
      <w:tr w:rsidR="00071D62" w:rsidRPr="00995156">
        <w:trPr>
          <w:trHeight w:val="80"/>
        </w:trPr>
        <w:tc>
          <w:tcPr>
            <w:tcW w:w="2980" w:type="pct"/>
            <w:tcBorders>
              <w:top w:val="single" w:sz="4" w:space="0" w:color="auto"/>
            </w:tcBorders>
          </w:tcPr>
          <w:p w:rsidR="00071D62" w:rsidRPr="00995156" w:rsidRDefault="00071D62" w:rsidP="004948B3">
            <w:pPr>
              <w:rPr>
                <w:rFonts w:ascii="Arial" w:hAnsi="Arial" w:cs="Arial"/>
                <w:sz w:val="2"/>
                <w:szCs w:val="2"/>
              </w:rPr>
            </w:pPr>
          </w:p>
        </w:tc>
        <w:tc>
          <w:tcPr>
            <w:tcW w:w="648" w:type="pct"/>
            <w:tcBorders>
              <w:top w:val="single" w:sz="4" w:space="0" w:color="auto"/>
            </w:tcBorders>
          </w:tcPr>
          <w:p w:rsidR="00071D62" w:rsidRPr="00995156" w:rsidRDefault="00071D62" w:rsidP="00995156">
            <w:pPr>
              <w:jc w:val="right"/>
              <w:rPr>
                <w:rFonts w:ascii="Arial" w:hAnsi="Arial" w:cs="Arial"/>
                <w:b/>
                <w:bCs/>
                <w:sz w:val="2"/>
                <w:szCs w:val="2"/>
              </w:rPr>
            </w:pPr>
          </w:p>
        </w:tc>
        <w:tc>
          <w:tcPr>
            <w:tcW w:w="587" w:type="pct"/>
            <w:tcBorders>
              <w:top w:val="single" w:sz="4" w:space="0" w:color="auto"/>
            </w:tcBorders>
          </w:tcPr>
          <w:p w:rsidR="00071D62" w:rsidRPr="00995156" w:rsidRDefault="00071D62" w:rsidP="00995156">
            <w:pPr>
              <w:jc w:val="right"/>
              <w:rPr>
                <w:rFonts w:ascii="Arial" w:hAnsi="Arial" w:cs="Arial"/>
                <w:sz w:val="2"/>
                <w:szCs w:val="2"/>
              </w:rPr>
            </w:pPr>
          </w:p>
        </w:tc>
        <w:tc>
          <w:tcPr>
            <w:tcW w:w="785" w:type="pct"/>
            <w:tcBorders>
              <w:top w:val="single" w:sz="4" w:space="0" w:color="auto"/>
            </w:tcBorders>
          </w:tcPr>
          <w:p w:rsidR="00071D62" w:rsidRPr="00995156" w:rsidRDefault="00071D62" w:rsidP="00995156">
            <w:pPr>
              <w:jc w:val="right"/>
              <w:rPr>
                <w:rFonts w:ascii="Arial" w:hAnsi="Arial" w:cs="Arial"/>
                <w:sz w:val="2"/>
                <w:szCs w:val="2"/>
              </w:rPr>
            </w:pPr>
          </w:p>
        </w:tc>
      </w:tr>
      <w:tr w:rsidR="00071D62" w:rsidRPr="00995156">
        <w:tc>
          <w:tcPr>
            <w:tcW w:w="2980" w:type="pct"/>
          </w:tcPr>
          <w:p w:rsidR="00071D62" w:rsidRPr="00995156" w:rsidRDefault="00071D62" w:rsidP="004948B3">
            <w:pPr>
              <w:rPr>
                <w:rFonts w:ascii="Arial" w:hAnsi="Arial" w:cs="Arial"/>
                <w:sz w:val="24"/>
                <w:szCs w:val="24"/>
              </w:rPr>
            </w:pPr>
            <w:r w:rsidRPr="00995156">
              <w:rPr>
                <w:rFonts w:ascii="Arial" w:hAnsi="Arial" w:cs="Arial"/>
                <w:sz w:val="24"/>
                <w:szCs w:val="24"/>
              </w:rPr>
              <w:t>Sales</w:t>
            </w:r>
          </w:p>
        </w:tc>
        <w:tc>
          <w:tcPr>
            <w:tcW w:w="648" w:type="pct"/>
          </w:tcPr>
          <w:p w:rsidR="00071D62" w:rsidRPr="00995156" w:rsidRDefault="00071D62" w:rsidP="00995156">
            <w:pPr>
              <w:jc w:val="right"/>
              <w:rPr>
                <w:rFonts w:ascii="Arial" w:hAnsi="Arial" w:cs="Arial"/>
                <w:b/>
                <w:bCs/>
                <w:sz w:val="24"/>
                <w:szCs w:val="24"/>
              </w:rPr>
            </w:pPr>
            <w:r w:rsidRPr="00995156">
              <w:rPr>
                <w:rFonts w:ascii="Arial" w:hAnsi="Arial" w:cs="Arial"/>
                <w:b/>
                <w:bCs/>
                <w:sz w:val="24"/>
                <w:szCs w:val="24"/>
              </w:rPr>
              <w:t>5,662</w:t>
            </w:r>
          </w:p>
        </w:tc>
        <w:tc>
          <w:tcPr>
            <w:tcW w:w="587" w:type="pct"/>
          </w:tcPr>
          <w:p w:rsidR="00071D62" w:rsidRPr="00995156" w:rsidRDefault="00071D62" w:rsidP="00995156">
            <w:pPr>
              <w:jc w:val="right"/>
              <w:rPr>
                <w:rFonts w:ascii="Arial" w:hAnsi="Arial" w:cs="Arial"/>
                <w:sz w:val="24"/>
                <w:szCs w:val="24"/>
              </w:rPr>
            </w:pPr>
            <w:r w:rsidRPr="00995156">
              <w:rPr>
                <w:rFonts w:ascii="Arial" w:hAnsi="Arial" w:cs="Arial"/>
                <w:sz w:val="24"/>
                <w:szCs w:val="24"/>
              </w:rPr>
              <w:t>5,454</w:t>
            </w:r>
          </w:p>
        </w:tc>
        <w:tc>
          <w:tcPr>
            <w:tcW w:w="785" w:type="pct"/>
          </w:tcPr>
          <w:p w:rsidR="00071D62" w:rsidRPr="00995156" w:rsidRDefault="00071D62" w:rsidP="00995156">
            <w:pPr>
              <w:jc w:val="right"/>
              <w:rPr>
                <w:rFonts w:ascii="Arial" w:hAnsi="Arial" w:cs="Arial"/>
                <w:sz w:val="24"/>
                <w:szCs w:val="24"/>
              </w:rPr>
            </w:pPr>
            <w:r w:rsidRPr="00995156">
              <w:rPr>
                <w:rFonts w:ascii="Arial" w:hAnsi="Arial" w:cs="Arial"/>
                <w:sz w:val="24"/>
                <w:szCs w:val="24"/>
              </w:rPr>
              <w:t>3.8%</w:t>
            </w:r>
          </w:p>
        </w:tc>
      </w:tr>
      <w:tr w:rsidR="00071D62" w:rsidRPr="00995156">
        <w:trPr>
          <w:trHeight w:hRule="exact" w:val="85"/>
        </w:trPr>
        <w:tc>
          <w:tcPr>
            <w:tcW w:w="2980" w:type="pct"/>
          </w:tcPr>
          <w:p w:rsidR="00071D62" w:rsidRPr="00995156" w:rsidRDefault="00071D62" w:rsidP="004948B3">
            <w:pPr>
              <w:rPr>
                <w:rFonts w:ascii="Arial" w:hAnsi="Arial" w:cs="Arial"/>
                <w:sz w:val="24"/>
                <w:szCs w:val="24"/>
              </w:rPr>
            </w:pPr>
          </w:p>
        </w:tc>
        <w:tc>
          <w:tcPr>
            <w:tcW w:w="648" w:type="pct"/>
          </w:tcPr>
          <w:p w:rsidR="00071D62" w:rsidRPr="00995156" w:rsidRDefault="00071D62" w:rsidP="00995156">
            <w:pPr>
              <w:jc w:val="right"/>
              <w:rPr>
                <w:rFonts w:ascii="Arial" w:hAnsi="Arial" w:cs="Arial"/>
                <w:b/>
                <w:bCs/>
                <w:sz w:val="24"/>
                <w:szCs w:val="24"/>
              </w:rPr>
            </w:pPr>
          </w:p>
        </w:tc>
        <w:tc>
          <w:tcPr>
            <w:tcW w:w="587" w:type="pct"/>
          </w:tcPr>
          <w:p w:rsidR="00071D62" w:rsidRPr="00995156" w:rsidRDefault="00071D62" w:rsidP="00995156">
            <w:pPr>
              <w:jc w:val="right"/>
              <w:rPr>
                <w:rFonts w:ascii="Arial" w:hAnsi="Arial" w:cs="Arial"/>
                <w:sz w:val="24"/>
                <w:szCs w:val="24"/>
              </w:rPr>
            </w:pPr>
          </w:p>
        </w:tc>
        <w:tc>
          <w:tcPr>
            <w:tcW w:w="785" w:type="pct"/>
          </w:tcPr>
          <w:p w:rsidR="00071D62" w:rsidRPr="00995156" w:rsidRDefault="00071D62" w:rsidP="00995156">
            <w:pPr>
              <w:jc w:val="right"/>
              <w:rPr>
                <w:rFonts w:ascii="Arial" w:hAnsi="Arial" w:cs="Arial"/>
                <w:sz w:val="24"/>
                <w:szCs w:val="24"/>
              </w:rPr>
            </w:pPr>
          </w:p>
        </w:tc>
      </w:tr>
      <w:tr w:rsidR="00071D62" w:rsidRPr="00995156">
        <w:tc>
          <w:tcPr>
            <w:tcW w:w="2980" w:type="pct"/>
          </w:tcPr>
          <w:p w:rsidR="00071D62" w:rsidRPr="00995156" w:rsidRDefault="00071D62" w:rsidP="004948B3">
            <w:pPr>
              <w:rPr>
                <w:rFonts w:ascii="Arial" w:hAnsi="Arial" w:cs="Arial"/>
                <w:sz w:val="24"/>
                <w:szCs w:val="24"/>
              </w:rPr>
            </w:pPr>
            <w:r w:rsidRPr="00995156">
              <w:rPr>
                <w:rFonts w:ascii="Arial" w:hAnsi="Arial" w:cs="Arial"/>
                <w:sz w:val="24"/>
                <w:szCs w:val="24"/>
              </w:rPr>
              <w:t xml:space="preserve">Adjusted pre-tax profit </w:t>
            </w:r>
          </w:p>
        </w:tc>
        <w:tc>
          <w:tcPr>
            <w:tcW w:w="648" w:type="pct"/>
          </w:tcPr>
          <w:p w:rsidR="00071D62" w:rsidRPr="00995156" w:rsidRDefault="00071D62" w:rsidP="00995156">
            <w:pPr>
              <w:jc w:val="right"/>
              <w:rPr>
                <w:rFonts w:ascii="Arial" w:hAnsi="Arial" w:cs="Arial"/>
                <w:b/>
                <w:bCs/>
                <w:sz w:val="24"/>
                <w:szCs w:val="24"/>
              </w:rPr>
            </w:pPr>
            <w:r w:rsidRPr="00995156">
              <w:rPr>
                <w:rFonts w:ascii="Arial" w:hAnsi="Arial" w:cs="Arial"/>
                <w:b/>
                <w:bCs/>
                <w:sz w:val="24"/>
                <w:szCs w:val="24"/>
              </w:rPr>
              <w:t>439</w:t>
            </w:r>
          </w:p>
        </w:tc>
        <w:tc>
          <w:tcPr>
            <w:tcW w:w="587" w:type="pct"/>
          </w:tcPr>
          <w:p w:rsidR="00071D62" w:rsidRPr="00995156" w:rsidRDefault="00071D62" w:rsidP="00995156">
            <w:pPr>
              <w:jc w:val="right"/>
              <w:rPr>
                <w:rFonts w:ascii="Arial" w:hAnsi="Arial" w:cs="Arial"/>
                <w:sz w:val="24"/>
                <w:szCs w:val="24"/>
              </w:rPr>
            </w:pPr>
            <w:r w:rsidRPr="00995156">
              <w:rPr>
                <w:rFonts w:ascii="Arial" w:hAnsi="Arial" w:cs="Arial"/>
                <w:sz w:val="24"/>
                <w:szCs w:val="24"/>
              </w:rPr>
              <w:t>354</w:t>
            </w:r>
          </w:p>
        </w:tc>
        <w:tc>
          <w:tcPr>
            <w:tcW w:w="785" w:type="pct"/>
          </w:tcPr>
          <w:p w:rsidR="00071D62" w:rsidRPr="00995156" w:rsidRDefault="00071D62" w:rsidP="00995156">
            <w:pPr>
              <w:jc w:val="right"/>
              <w:rPr>
                <w:rFonts w:ascii="Arial" w:hAnsi="Arial" w:cs="Arial"/>
                <w:sz w:val="24"/>
                <w:szCs w:val="24"/>
              </w:rPr>
            </w:pPr>
            <w:r w:rsidRPr="00995156">
              <w:rPr>
                <w:rFonts w:ascii="Arial" w:hAnsi="Arial" w:cs="Arial"/>
                <w:sz w:val="24"/>
                <w:szCs w:val="24"/>
              </w:rPr>
              <w:t>24.0%</w:t>
            </w:r>
          </w:p>
        </w:tc>
      </w:tr>
      <w:tr w:rsidR="00071D62" w:rsidRPr="00995156">
        <w:trPr>
          <w:trHeight w:hRule="exact" w:val="85"/>
        </w:trPr>
        <w:tc>
          <w:tcPr>
            <w:tcW w:w="2980" w:type="pct"/>
          </w:tcPr>
          <w:p w:rsidR="00071D62" w:rsidRPr="00995156" w:rsidRDefault="00071D62" w:rsidP="004948B3">
            <w:pPr>
              <w:rPr>
                <w:rFonts w:ascii="Arial" w:hAnsi="Arial" w:cs="Arial"/>
                <w:sz w:val="24"/>
                <w:szCs w:val="24"/>
              </w:rPr>
            </w:pPr>
          </w:p>
        </w:tc>
        <w:tc>
          <w:tcPr>
            <w:tcW w:w="648" w:type="pct"/>
          </w:tcPr>
          <w:p w:rsidR="00071D62" w:rsidRPr="00995156" w:rsidRDefault="00071D62" w:rsidP="00995156">
            <w:pPr>
              <w:jc w:val="right"/>
              <w:rPr>
                <w:rFonts w:ascii="Arial" w:hAnsi="Arial" w:cs="Arial"/>
                <w:b/>
                <w:bCs/>
                <w:sz w:val="24"/>
                <w:szCs w:val="24"/>
              </w:rPr>
            </w:pPr>
          </w:p>
        </w:tc>
        <w:tc>
          <w:tcPr>
            <w:tcW w:w="587" w:type="pct"/>
          </w:tcPr>
          <w:p w:rsidR="00071D62" w:rsidRPr="00995156" w:rsidRDefault="00071D62" w:rsidP="00995156">
            <w:pPr>
              <w:jc w:val="right"/>
              <w:rPr>
                <w:rFonts w:ascii="Arial" w:hAnsi="Arial" w:cs="Arial"/>
                <w:sz w:val="24"/>
                <w:szCs w:val="24"/>
              </w:rPr>
            </w:pPr>
          </w:p>
        </w:tc>
        <w:tc>
          <w:tcPr>
            <w:tcW w:w="785" w:type="pct"/>
          </w:tcPr>
          <w:p w:rsidR="00071D62" w:rsidRPr="00995156" w:rsidRDefault="00071D62" w:rsidP="00995156">
            <w:pPr>
              <w:jc w:val="right"/>
              <w:rPr>
                <w:rFonts w:ascii="Arial" w:hAnsi="Arial" w:cs="Arial"/>
                <w:sz w:val="24"/>
                <w:szCs w:val="24"/>
              </w:rPr>
            </w:pPr>
          </w:p>
        </w:tc>
      </w:tr>
      <w:tr w:rsidR="00071D62" w:rsidRPr="00995156">
        <w:tc>
          <w:tcPr>
            <w:tcW w:w="2980" w:type="pct"/>
          </w:tcPr>
          <w:p w:rsidR="00071D62" w:rsidRPr="00995156" w:rsidRDefault="00071D62" w:rsidP="004948B3">
            <w:pPr>
              <w:rPr>
                <w:rFonts w:ascii="Arial" w:hAnsi="Arial" w:cs="Arial"/>
                <w:sz w:val="24"/>
                <w:szCs w:val="24"/>
              </w:rPr>
            </w:pPr>
            <w:r w:rsidRPr="00995156">
              <w:rPr>
                <w:rFonts w:ascii="Arial" w:hAnsi="Arial" w:cs="Arial"/>
                <w:sz w:val="24"/>
                <w:szCs w:val="24"/>
              </w:rPr>
              <w:t>Profit before taxation after exceptional items</w:t>
            </w:r>
          </w:p>
        </w:tc>
        <w:tc>
          <w:tcPr>
            <w:tcW w:w="648" w:type="pct"/>
          </w:tcPr>
          <w:p w:rsidR="00071D62" w:rsidRPr="00995156" w:rsidRDefault="00071D62" w:rsidP="00995156">
            <w:pPr>
              <w:jc w:val="right"/>
              <w:rPr>
                <w:rFonts w:ascii="Arial" w:hAnsi="Arial" w:cs="Arial"/>
                <w:b/>
                <w:bCs/>
                <w:sz w:val="24"/>
                <w:szCs w:val="24"/>
              </w:rPr>
            </w:pPr>
            <w:r w:rsidRPr="00995156">
              <w:rPr>
                <w:rFonts w:ascii="Arial" w:hAnsi="Arial" w:cs="Arial"/>
                <w:b/>
                <w:bCs/>
                <w:sz w:val="24"/>
                <w:szCs w:val="24"/>
              </w:rPr>
              <w:t>438</w:t>
            </w:r>
          </w:p>
        </w:tc>
        <w:tc>
          <w:tcPr>
            <w:tcW w:w="587" w:type="pct"/>
          </w:tcPr>
          <w:p w:rsidR="00071D62" w:rsidRPr="00995156" w:rsidRDefault="00071D62" w:rsidP="00995156">
            <w:pPr>
              <w:jc w:val="right"/>
              <w:rPr>
                <w:rFonts w:ascii="Arial" w:hAnsi="Arial" w:cs="Arial"/>
                <w:sz w:val="24"/>
                <w:szCs w:val="24"/>
              </w:rPr>
            </w:pPr>
            <w:r w:rsidRPr="00995156">
              <w:rPr>
                <w:rFonts w:ascii="Arial" w:hAnsi="Arial" w:cs="Arial"/>
                <w:sz w:val="24"/>
                <w:szCs w:val="24"/>
              </w:rPr>
              <w:t>351</w:t>
            </w:r>
          </w:p>
        </w:tc>
        <w:tc>
          <w:tcPr>
            <w:tcW w:w="785" w:type="pct"/>
          </w:tcPr>
          <w:p w:rsidR="00071D62" w:rsidRPr="00995156" w:rsidRDefault="00071D62" w:rsidP="00995156">
            <w:pPr>
              <w:jc w:val="right"/>
              <w:rPr>
                <w:rFonts w:ascii="Arial" w:hAnsi="Arial" w:cs="Arial"/>
                <w:sz w:val="24"/>
                <w:szCs w:val="24"/>
              </w:rPr>
            </w:pPr>
            <w:r w:rsidRPr="00995156">
              <w:rPr>
                <w:rFonts w:ascii="Arial" w:hAnsi="Arial" w:cs="Arial"/>
                <w:sz w:val="24"/>
                <w:szCs w:val="24"/>
              </w:rPr>
              <w:t>24.8%</w:t>
            </w:r>
          </w:p>
        </w:tc>
      </w:tr>
      <w:tr w:rsidR="00071D62" w:rsidRPr="00995156">
        <w:trPr>
          <w:trHeight w:hRule="exact" w:val="85"/>
        </w:trPr>
        <w:tc>
          <w:tcPr>
            <w:tcW w:w="2980" w:type="pct"/>
          </w:tcPr>
          <w:p w:rsidR="00071D62" w:rsidRPr="00995156" w:rsidRDefault="00071D62" w:rsidP="004948B3">
            <w:pPr>
              <w:rPr>
                <w:rFonts w:ascii="Arial" w:hAnsi="Arial" w:cs="Arial"/>
                <w:sz w:val="24"/>
                <w:szCs w:val="24"/>
              </w:rPr>
            </w:pPr>
          </w:p>
        </w:tc>
        <w:tc>
          <w:tcPr>
            <w:tcW w:w="648" w:type="pct"/>
          </w:tcPr>
          <w:p w:rsidR="00071D62" w:rsidRPr="00995156" w:rsidRDefault="00071D62" w:rsidP="00995156">
            <w:pPr>
              <w:jc w:val="right"/>
              <w:rPr>
                <w:rFonts w:ascii="Arial" w:hAnsi="Arial" w:cs="Arial"/>
                <w:b/>
                <w:bCs/>
                <w:sz w:val="24"/>
                <w:szCs w:val="24"/>
              </w:rPr>
            </w:pPr>
          </w:p>
        </w:tc>
        <w:tc>
          <w:tcPr>
            <w:tcW w:w="587" w:type="pct"/>
          </w:tcPr>
          <w:p w:rsidR="00071D62" w:rsidRPr="00995156" w:rsidRDefault="00071D62" w:rsidP="00995156">
            <w:pPr>
              <w:jc w:val="right"/>
              <w:rPr>
                <w:rFonts w:ascii="Arial" w:hAnsi="Arial" w:cs="Arial"/>
                <w:sz w:val="24"/>
                <w:szCs w:val="24"/>
              </w:rPr>
            </w:pPr>
          </w:p>
        </w:tc>
        <w:tc>
          <w:tcPr>
            <w:tcW w:w="785" w:type="pct"/>
          </w:tcPr>
          <w:p w:rsidR="00071D62" w:rsidRPr="00995156" w:rsidRDefault="00071D62" w:rsidP="00995156">
            <w:pPr>
              <w:jc w:val="right"/>
              <w:rPr>
                <w:rFonts w:ascii="Arial" w:hAnsi="Arial" w:cs="Arial"/>
                <w:sz w:val="24"/>
                <w:szCs w:val="24"/>
              </w:rPr>
            </w:pPr>
          </w:p>
        </w:tc>
      </w:tr>
      <w:tr w:rsidR="00071D62" w:rsidRPr="00995156">
        <w:tc>
          <w:tcPr>
            <w:tcW w:w="2980" w:type="pct"/>
          </w:tcPr>
          <w:p w:rsidR="00071D62" w:rsidRPr="00995156" w:rsidRDefault="00071D62" w:rsidP="004948B3">
            <w:pPr>
              <w:rPr>
                <w:rFonts w:ascii="Arial" w:hAnsi="Arial" w:cs="Arial"/>
                <w:sz w:val="24"/>
                <w:szCs w:val="24"/>
              </w:rPr>
            </w:pPr>
            <w:r w:rsidRPr="00995156">
              <w:rPr>
                <w:rFonts w:ascii="Arial" w:hAnsi="Arial" w:cs="Arial"/>
                <w:sz w:val="24"/>
                <w:szCs w:val="24"/>
              </w:rPr>
              <w:t xml:space="preserve">Adjusted basic earnings per share </w:t>
            </w:r>
          </w:p>
        </w:tc>
        <w:tc>
          <w:tcPr>
            <w:tcW w:w="648" w:type="pct"/>
          </w:tcPr>
          <w:p w:rsidR="00071D62" w:rsidRPr="00995156" w:rsidRDefault="00071D62" w:rsidP="00995156">
            <w:pPr>
              <w:jc w:val="right"/>
              <w:rPr>
                <w:rFonts w:ascii="Arial" w:hAnsi="Arial" w:cs="Arial"/>
                <w:b/>
                <w:bCs/>
                <w:sz w:val="24"/>
                <w:szCs w:val="24"/>
              </w:rPr>
            </w:pPr>
            <w:r w:rsidRPr="00995156">
              <w:rPr>
                <w:rFonts w:ascii="Arial" w:hAnsi="Arial" w:cs="Arial"/>
                <w:b/>
                <w:bCs/>
                <w:sz w:val="24"/>
                <w:szCs w:val="24"/>
              </w:rPr>
              <w:t>13.5p</w:t>
            </w:r>
          </w:p>
        </w:tc>
        <w:tc>
          <w:tcPr>
            <w:tcW w:w="587" w:type="pct"/>
          </w:tcPr>
          <w:p w:rsidR="00071D62" w:rsidRPr="00995156" w:rsidRDefault="00071D62" w:rsidP="00995156">
            <w:pPr>
              <w:jc w:val="right"/>
              <w:rPr>
                <w:rFonts w:ascii="Arial" w:hAnsi="Arial" w:cs="Arial"/>
                <w:sz w:val="24"/>
                <w:szCs w:val="24"/>
              </w:rPr>
            </w:pPr>
            <w:r w:rsidRPr="00995156">
              <w:rPr>
                <w:rFonts w:ascii="Arial" w:hAnsi="Arial" w:cs="Arial"/>
                <w:sz w:val="24"/>
                <w:szCs w:val="24"/>
              </w:rPr>
              <w:t>10.6p</w:t>
            </w:r>
          </w:p>
        </w:tc>
        <w:tc>
          <w:tcPr>
            <w:tcW w:w="785" w:type="pct"/>
          </w:tcPr>
          <w:p w:rsidR="00071D62" w:rsidRPr="00995156" w:rsidRDefault="00071D62" w:rsidP="00995156">
            <w:pPr>
              <w:jc w:val="right"/>
              <w:rPr>
                <w:rFonts w:ascii="Arial" w:hAnsi="Arial" w:cs="Arial"/>
                <w:sz w:val="24"/>
                <w:szCs w:val="24"/>
              </w:rPr>
            </w:pPr>
            <w:r w:rsidRPr="00995156">
              <w:rPr>
                <w:rFonts w:ascii="Arial" w:hAnsi="Arial" w:cs="Arial"/>
                <w:sz w:val="24"/>
                <w:szCs w:val="24"/>
              </w:rPr>
              <w:t>27.4%</w:t>
            </w:r>
          </w:p>
        </w:tc>
      </w:tr>
      <w:tr w:rsidR="00071D62" w:rsidRPr="00995156">
        <w:trPr>
          <w:trHeight w:hRule="exact" w:val="85"/>
        </w:trPr>
        <w:tc>
          <w:tcPr>
            <w:tcW w:w="2980" w:type="pct"/>
          </w:tcPr>
          <w:p w:rsidR="00071D62" w:rsidRPr="00995156" w:rsidRDefault="00071D62" w:rsidP="004948B3">
            <w:pPr>
              <w:rPr>
                <w:rFonts w:ascii="Arial" w:hAnsi="Arial" w:cs="Arial"/>
                <w:sz w:val="24"/>
                <w:szCs w:val="24"/>
              </w:rPr>
            </w:pPr>
          </w:p>
        </w:tc>
        <w:tc>
          <w:tcPr>
            <w:tcW w:w="648" w:type="pct"/>
          </w:tcPr>
          <w:p w:rsidR="00071D62" w:rsidRPr="00995156" w:rsidRDefault="00071D62" w:rsidP="00995156">
            <w:pPr>
              <w:jc w:val="right"/>
              <w:rPr>
                <w:rFonts w:ascii="Arial" w:hAnsi="Arial" w:cs="Arial"/>
                <w:b/>
                <w:bCs/>
                <w:sz w:val="24"/>
                <w:szCs w:val="24"/>
              </w:rPr>
            </w:pPr>
          </w:p>
        </w:tc>
        <w:tc>
          <w:tcPr>
            <w:tcW w:w="587" w:type="pct"/>
          </w:tcPr>
          <w:p w:rsidR="00071D62" w:rsidRPr="00995156" w:rsidRDefault="00071D62" w:rsidP="00995156">
            <w:pPr>
              <w:jc w:val="right"/>
              <w:rPr>
                <w:rFonts w:ascii="Arial" w:hAnsi="Arial" w:cs="Arial"/>
                <w:sz w:val="24"/>
                <w:szCs w:val="24"/>
              </w:rPr>
            </w:pPr>
          </w:p>
        </w:tc>
        <w:tc>
          <w:tcPr>
            <w:tcW w:w="785" w:type="pct"/>
          </w:tcPr>
          <w:p w:rsidR="00071D62" w:rsidRPr="00995156" w:rsidRDefault="00071D62" w:rsidP="00995156">
            <w:pPr>
              <w:jc w:val="right"/>
              <w:rPr>
                <w:rFonts w:ascii="Arial" w:hAnsi="Arial" w:cs="Arial"/>
                <w:sz w:val="24"/>
                <w:szCs w:val="24"/>
              </w:rPr>
            </w:pPr>
          </w:p>
        </w:tc>
      </w:tr>
      <w:tr w:rsidR="00071D62" w:rsidRPr="00995156">
        <w:tc>
          <w:tcPr>
            <w:tcW w:w="2980" w:type="pct"/>
            <w:tcBorders>
              <w:bottom w:val="single" w:sz="4" w:space="0" w:color="auto"/>
            </w:tcBorders>
          </w:tcPr>
          <w:p w:rsidR="00071D62" w:rsidRPr="00995156" w:rsidRDefault="00071D62" w:rsidP="004948B3">
            <w:pPr>
              <w:rPr>
                <w:rFonts w:ascii="Arial" w:hAnsi="Arial" w:cs="Arial"/>
                <w:sz w:val="24"/>
                <w:szCs w:val="24"/>
              </w:rPr>
            </w:pPr>
            <w:r w:rsidRPr="00995156">
              <w:rPr>
                <w:rFonts w:ascii="Arial" w:hAnsi="Arial" w:cs="Arial"/>
                <w:sz w:val="24"/>
                <w:szCs w:val="24"/>
              </w:rPr>
              <w:t>Dividends</w:t>
            </w:r>
          </w:p>
        </w:tc>
        <w:tc>
          <w:tcPr>
            <w:tcW w:w="648" w:type="pct"/>
            <w:tcBorders>
              <w:bottom w:val="single" w:sz="4" w:space="0" w:color="auto"/>
            </w:tcBorders>
          </w:tcPr>
          <w:p w:rsidR="00071D62" w:rsidRPr="00995156" w:rsidRDefault="00071D62" w:rsidP="00995156">
            <w:pPr>
              <w:jc w:val="right"/>
              <w:rPr>
                <w:rFonts w:ascii="Arial" w:hAnsi="Arial" w:cs="Arial"/>
                <w:b/>
                <w:bCs/>
                <w:sz w:val="24"/>
                <w:szCs w:val="24"/>
              </w:rPr>
            </w:pPr>
            <w:r w:rsidRPr="00995156">
              <w:rPr>
                <w:rFonts w:ascii="Arial" w:hAnsi="Arial" w:cs="Arial"/>
                <w:b/>
                <w:bCs/>
                <w:sz w:val="24"/>
                <w:szCs w:val="24"/>
              </w:rPr>
              <w:t>2.47p</w:t>
            </w:r>
          </w:p>
        </w:tc>
        <w:tc>
          <w:tcPr>
            <w:tcW w:w="587" w:type="pct"/>
            <w:tcBorders>
              <w:bottom w:val="single" w:sz="4" w:space="0" w:color="auto"/>
            </w:tcBorders>
          </w:tcPr>
          <w:p w:rsidR="00071D62" w:rsidRPr="00995156" w:rsidRDefault="00071D62" w:rsidP="00995156">
            <w:pPr>
              <w:jc w:val="right"/>
              <w:rPr>
                <w:rFonts w:ascii="Arial" w:hAnsi="Arial" w:cs="Arial"/>
                <w:sz w:val="24"/>
                <w:szCs w:val="24"/>
              </w:rPr>
            </w:pPr>
            <w:r w:rsidRPr="00995156">
              <w:rPr>
                <w:rFonts w:ascii="Arial" w:hAnsi="Arial" w:cs="Arial"/>
                <w:sz w:val="24"/>
                <w:szCs w:val="24"/>
              </w:rPr>
              <w:t>1.925p</w:t>
            </w:r>
          </w:p>
        </w:tc>
        <w:tc>
          <w:tcPr>
            <w:tcW w:w="785" w:type="pct"/>
            <w:tcBorders>
              <w:bottom w:val="single" w:sz="4" w:space="0" w:color="auto"/>
            </w:tcBorders>
          </w:tcPr>
          <w:p w:rsidR="00071D62" w:rsidRPr="00995156" w:rsidRDefault="00071D62" w:rsidP="00995156">
            <w:pPr>
              <w:jc w:val="right"/>
              <w:rPr>
                <w:rFonts w:ascii="Arial" w:hAnsi="Arial" w:cs="Arial"/>
                <w:sz w:val="24"/>
                <w:szCs w:val="24"/>
              </w:rPr>
            </w:pPr>
            <w:r w:rsidRPr="00995156">
              <w:rPr>
                <w:rFonts w:ascii="Arial" w:hAnsi="Arial" w:cs="Arial"/>
                <w:sz w:val="24"/>
                <w:szCs w:val="24"/>
              </w:rPr>
              <w:t>28.3%</w:t>
            </w:r>
          </w:p>
        </w:tc>
      </w:tr>
    </w:tbl>
    <w:p w:rsidR="00071D62" w:rsidRPr="00014F94" w:rsidRDefault="00071D62" w:rsidP="00995156">
      <w:pPr>
        <w:rPr>
          <w:rFonts w:ascii="Arial" w:hAnsi="Arial" w:cs="Arial"/>
          <w:sz w:val="24"/>
          <w:szCs w:val="24"/>
        </w:rPr>
      </w:pPr>
    </w:p>
    <w:p w:rsidR="00071D62" w:rsidRDefault="00071D62" w:rsidP="00995156">
      <w:pPr>
        <w:jc w:val="left"/>
        <w:rPr>
          <w:rFonts w:ascii="Arial" w:hAnsi="Arial" w:cs="Arial"/>
          <w:sz w:val="24"/>
          <w:szCs w:val="24"/>
        </w:rPr>
      </w:pPr>
      <w:r w:rsidRPr="00014F94">
        <w:rPr>
          <w:rFonts w:ascii="Arial" w:hAnsi="Arial" w:cs="Arial"/>
          <w:sz w:val="24"/>
          <w:szCs w:val="24"/>
        </w:rPr>
        <w:t>A reconciliation of statutory profit to adjusted profit is set out below:</w:t>
      </w:r>
    </w:p>
    <w:p w:rsidR="00071D62" w:rsidRPr="00014F94" w:rsidRDefault="00071D62" w:rsidP="00995156">
      <w:pPr>
        <w:rPr>
          <w:rFonts w:ascii="Arial" w:hAnsi="Arial" w:cs="Arial"/>
          <w:sz w:val="24"/>
          <w:szCs w:val="24"/>
        </w:rPr>
      </w:pPr>
    </w:p>
    <w:tbl>
      <w:tblPr>
        <w:tblW w:w="5000" w:type="pct"/>
        <w:tblInd w:w="2" w:type="dxa"/>
        <w:tblLayout w:type="fixed"/>
        <w:tblLook w:val="01E0"/>
      </w:tblPr>
      <w:tblGrid>
        <w:gridCol w:w="5875"/>
        <w:gridCol w:w="1256"/>
        <w:gridCol w:w="1238"/>
        <w:gridCol w:w="1488"/>
      </w:tblGrid>
      <w:tr w:rsidR="00071D62" w:rsidRPr="00995156">
        <w:tc>
          <w:tcPr>
            <w:tcW w:w="2980" w:type="pct"/>
            <w:tcBorders>
              <w:bottom w:val="single" w:sz="4" w:space="0" w:color="auto"/>
            </w:tcBorders>
          </w:tcPr>
          <w:p w:rsidR="00071D62" w:rsidRPr="00995156" w:rsidRDefault="00071D62" w:rsidP="00995156">
            <w:pPr>
              <w:jc w:val="right"/>
              <w:rPr>
                <w:rFonts w:ascii="Arial" w:hAnsi="Arial" w:cs="Arial"/>
                <w:sz w:val="24"/>
                <w:szCs w:val="24"/>
              </w:rPr>
            </w:pPr>
          </w:p>
        </w:tc>
        <w:tc>
          <w:tcPr>
            <w:tcW w:w="637" w:type="pct"/>
            <w:tcBorders>
              <w:bottom w:val="single" w:sz="4" w:space="0" w:color="auto"/>
            </w:tcBorders>
          </w:tcPr>
          <w:p w:rsidR="00071D62" w:rsidRPr="00995156" w:rsidRDefault="00071D62" w:rsidP="00995156">
            <w:pPr>
              <w:jc w:val="right"/>
              <w:rPr>
                <w:rFonts w:ascii="Arial" w:hAnsi="Arial" w:cs="Arial"/>
                <w:b/>
                <w:bCs/>
                <w:sz w:val="24"/>
                <w:szCs w:val="24"/>
              </w:rPr>
            </w:pPr>
            <w:r w:rsidRPr="00995156">
              <w:rPr>
                <w:rFonts w:ascii="Arial" w:hAnsi="Arial" w:cs="Arial"/>
                <w:b/>
                <w:bCs/>
                <w:sz w:val="24"/>
                <w:szCs w:val="24"/>
              </w:rPr>
              <w:t>2011/12</w:t>
            </w:r>
          </w:p>
          <w:p w:rsidR="00071D62" w:rsidRPr="00995156" w:rsidRDefault="00071D62" w:rsidP="00995156">
            <w:pPr>
              <w:jc w:val="right"/>
              <w:rPr>
                <w:rFonts w:ascii="Arial" w:hAnsi="Arial" w:cs="Arial"/>
                <w:b/>
                <w:bCs/>
                <w:sz w:val="24"/>
                <w:szCs w:val="24"/>
              </w:rPr>
            </w:pPr>
            <w:r w:rsidRPr="00995156">
              <w:rPr>
                <w:rFonts w:ascii="Arial" w:hAnsi="Arial" w:cs="Arial"/>
                <w:b/>
                <w:bCs/>
                <w:sz w:val="24"/>
                <w:szCs w:val="24"/>
              </w:rPr>
              <w:t>£m</w:t>
            </w:r>
          </w:p>
        </w:tc>
        <w:tc>
          <w:tcPr>
            <w:tcW w:w="628" w:type="pct"/>
            <w:tcBorders>
              <w:bottom w:val="single" w:sz="4" w:space="0" w:color="auto"/>
            </w:tcBorders>
          </w:tcPr>
          <w:p w:rsidR="00071D62" w:rsidRPr="00995156" w:rsidRDefault="00071D62" w:rsidP="00995156">
            <w:pPr>
              <w:jc w:val="right"/>
              <w:rPr>
                <w:rFonts w:ascii="Arial" w:hAnsi="Arial" w:cs="Arial"/>
                <w:sz w:val="24"/>
                <w:szCs w:val="24"/>
              </w:rPr>
            </w:pPr>
            <w:r w:rsidRPr="00995156">
              <w:rPr>
                <w:rFonts w:ascii="Arial" w:hAnsi="Arial" w:cs="Arial"/>
                <w:sz w:val="24"/>
                <w:szCs w:val="24"/>
              </w:rPr>
              <w:t>2010/11</w:t>
            </w:r>
          </w:p>
          <w:p w:rsidR="00071D62" w:rsidRPr="00995156" w:rsidRDefault="00071D62" w:rsidP="00995156">
            <w:pPr>
              <w:jc w:val="right"/>
              <w:rPr>
                <w:rFonts w:ascii="Arial" w:hAnsi="Arial" w:cs="Arial"/>
                <w:sz w:val="24"/>
                <w:szCs w:val="24"/>
              </w:rPr>
            </w:pPr>
            <w:r w:rsidRPr="00995156">
              <w:rPr>
                <w:rFonts w:ascii="Arial" w:hAnsi="Arial" w:cs="Arial"/>
                <w:sz w:val="24"/>
                <w:szCs w:val="24"/>
              </w:rPr>
              <w:t>£m</w:t>
            </w:r>
          </w:p>
        </w:tc>
        <w:tc>
          <w:tcPr>
            <w:tcW w:w="755" w:type="pct"/>
            <w:tcBorders>
              <w:bottom w:val="single" w:sz="4" w:space="0" w:color="auto"/>
            </w:tcBorders>
          </w:tcPr>
          <w:p w:rsidR="00071D62" w:rsidRPr="00995156" w:rsidRDefault="00071D62" w:rsidP="00995156">
            <w:pPr>
              <w:jc w:val="right"/>
              <w:rPr>
                <w:rFonts w:ascii="Arial" w:hAnsi="Arial" w:cs="Arial"/>
                <w:sz w:val="24"/>
                <w:szCs w:val="24"/>
              </w:rPr>
            </w:pPr>
            <w:r w:rsidRPr="00995156">
              <w:rPr>
                <w:rFonts w:ascii="Arial" w:hAnsi="Arial" w:cs="Arial"/>
                <w:sz w:val="24"/>
                <w:szCs w:val="24"/>
              </w:rPr>
              <w:t xml:space="preserve">Increase </w:t>
            </w:r>
          </w:p>
        </w:tc>
      </w:tr>
      <w:tr w:rsidR="00071D62" w:rsidRPr="00995156">
        <w:trPr>
          <w:trHeight w:hRule="exact" w:val="113"/>
        </w:trPr>
        <w:tc>
          <w:tcPr>
            <w:tcW w:w="2980" w:type="pct"/>
            <w:tcBorders>
              <w:top w:val="single" w:sz="4" w:space="0" w:color="auto"/>
            </w:tcBorders>
          </w:tcPr>
          <w:p w:rsidR="00071D62" w:rsidRPr="00995156" w:rsidRDefault="00071D62" w:rsidP="004948B3">
            <w:pPr>
              <w:rPr>
                <w:rFonts w:ascii="Arial" w:hAnsi="Arial" w:cs="Arial"/>
                <w:sz w:val="24"/>
                <w:szCs w:val="24"/>
              </w:rPr>
            </w:pPr>
          </w:p>
        </w:tc>
        <w:tc>
          <w:tcPr>
            <w:tcW w:w="637" w:type="pct"/>
            <w:tcBorders>
              <w:top w:val="single" w:sz="4" w:space="0" w:color="auto"/>
            </w:tcBorders>
          </w:tcPr>
          <w:p w:rsidR="00071D62" w:rsidRPr="00995156" w:rsidRDefault="00071D62" w:rsidP="00995156">
            <w:pPr>
              <w:jc w:val="right"/>
              <w:rPr>
                <w:rFonts w:ascii="Arial" w:hAnsi="Arial" w:cs="Arial"/>
                <w:b/>
                <w:bCs/>
                <w:sz w:val="24"/>
                <w:szCs w:val="24"/>
              </w:rPr>
            </w:pPr>
          </w:p>
        </w:tc>
        <w:tc>
          <w:tcPr>
            <w:tcW w:w="628" w:type="pct"/>
            <w:tcBorders>
              <w:top w:val="single" w:sz="4" w:space="0" w:color="auto"/>
            </w:tcBorders>
          </w:tcPr>
          <w:p w:rsidR="00071D62" w:rsidRPr="00995156" w:rsidRDefault="00071D62" w:rsidP="00995156">
            <w:pPr>
              <w:jc w:val="right"/>
              <w:rPr>
                <w:rFonts w:ascii="Arial" w:hAnsi="Arial" w:cs="Arial"/>
                <w:sz w:val="24"/>
                <w:szCs w:val="24"/>
              </w:rPr>
            </w:pPr>
          </w:p>
        </w:tc>
        <w:tc>
          <w:tcPr>
            <w:tcW w:w="755" w:type="pct"/>
            <w:tcBorders>
              <w:top w:val="single" w:sz="4" w:space="0" w:color="auto"/>
            </w:tcBorders>
          </w:tcPr>
          <w:p w:rsidR="00071D62" w:rsidRPr="00995156" w:rsidRDefault="00071D62" w:rsidP="00995156">
            <w:pPr>
              <w:jc w:val="right"/>
              <w:rPr>
                <w:rFonts w:ascii="Arial" w:hAnsi="Arial" w:cs="Arial"/>
                <w:sz w:val="24"/>
                <w:szCs w:val="24"/>
              </w:rPr>
            </w:pPr>
          </w:p>
        </w:tc>
      </w:tr>
      <w:tr w:rsidR="00071D62" w:rsidRPr="00995156">
        <w:tc>
          <w:tcPr>
            <w:tcW w:w="2980" w:type="pct"/>
          </w:tcPr>
          <w:p w:rsidR="00071D62" w:rsidRPr="00995156" w:rsidRDefault="00071D62" w:rsidP="00C05956">
            <w:pPr>
              <w:jc w:val="left"/>
              <w:rPr>
                <w:rFonts w:ascii="Arial" w:hAnsi="Arial" w:cs="Arial"/>
                <w:sz w:val="24"/>
                <w:szCs w:val="24"/>
              </w:rPr>
            </w:pPr>
            <w:r w:rsidRPr="00995156">
              <w:rPr>
                <w:rFonts w:ascii="Arial" w:hAnsi="Arial" w:cs="Arial"/>
                <w:sz w:val="24"/>
                <w:szCs w:val="24"/>
              </w:rPr>
              <w:t>Profit before taxation</w:t>
            </w:r>
          </w:p>
        </w:tc>
        <w:tc>
          <w:tcPr>
            <w:tcW w:w="637" w:type="pct"/>
          </w:tcPr>
          <w:p w:rsidR="00071D62" w:rsidRPr="00995156" w:rsidRDefault="00071D62" w:rsidP="00995156">
            <w:pPr>
              <w:jc w:val="right"/>
              <w:rPr>
                <w:rFonts w:ascii="Arial" w:hAnsi="Arial" w:cs="Arial"/>
                <w:b/>
                <w:bCs/>
                <w:sz w:val="24"/>
                <w:szCs w:val="24"/>
              </w:rPr>
            </w:pPr>
            <w:r w:rsidRPr="00995156">
              <w:rPr>
                <w:rFonts w:ascii="Arial" w:hAnsi="Arial" w:cs="Arial"/>
                <w:b/>
                <w:bCs/>
                <w:sz w:val="24"/>
                <w:szCs w:val="24"/>
              </w:rPr>
              <w:t>438</w:t>
            </w:r>
          </w:p>
        </w:tc>
        <w:tc>
          <w:tcPr>
            <w:tcW w:w="628" w:type="pct"/>
          </w:tcPr>
          <w:p w:rsidR="00071D62" w:rsidRPr="00995156" w:rsidRDefault="00071D62" w:rsidP="00995156">
            <w:pPr>
              <w:jc w:val="right"/>
              <w:rPr>
                <w:rFonts w:ascii="Arial" w:hAnsi="Arial" w:cs="Arial"/>
                <w:sz w:val="24"/>
                <w:szCs w:val="24"/>
              </w:rPr>
            </w:pPr>
            <w:r w:rsidRPr="00995156">
              <w:rPr>
                <w:rFonts w:ascii="Arial" w:hAnsi="Arial" w:cs="Arial"/>
                <w:sz w:val="24"/>
                <w:szCs w:val="24"/>
              </w:rPr>
              <w:t>351</w:t>
            </w:r>
          </w:p>
        </w:tc>
        <w:tc>
          <w:tcPr>
            <w:tcW w:w="755" w:type="pct"/>
            <w:vAlign w:val="bottom"/>
          </w:tcPr>
          <w:p w:rsidR="00071D62" w:rsidRPr="00995156" w:rsidRDefault="00071D62" w:rsidP="00995156">
            <w:pPr>
              <w:jc w:val="right"/>
              <w:rPr>
                <w:rFonts w:ascii="Arial" w:hAnsi="Arial" w:cs="Arial"/>
                <w:sz w:val="24"/>
                <w:szCs w:val="24"/>
              </w:rPr>
            </w:pPr>
            <w:r w:rsidRPr="00995156">
              <w:rPr>
                <w:rFonts w:ascii="Arial" w:hAnsi="Arial" w:cs="Arial"/>
                <w:sz w:val="24"/>
                <w:szCs w:val="24"/>
              </w:rPr>
              <w:t>24.8%</w:t>
            </w:r>
          </w:p>
        </w:tc>
      </w:tr>
      <w:tr w:rsidR="00071D62" w:rsidRPr="00995156">
        <w:tc>
          <w:tcPr>
            <w:tcW w:w="2980" w:type="pct"/>
            <w:tcBorders>
              <w:bottom w:val="single" w:sz="4" w:space="0" w:color="auto"/>
            </w:tcBorders>
          </w:tcPr>
          <w:p w:rsidR="00071D62" w:rsidRPr="00995156" w:rsidRDefault="00071D62" w:rsidP="00C05956">
            <w:pPr>
              <w:jc w:val="left"/>
              <w:rPr>
                <w:rFonts w:ascii="Arial" w:hAnsi="Arial" w:cs="Arial"/>
                <w:sz w:val="24"/>
                <w:szCs w:val="24"/>
              </w:rPr>
            </w:pPr>
            <w:r w:rsidRPr="00995156">
              <w:rPr>
                <w:rFonts w:ascii="Arial" w:hAnsi="Arial" w:cs="Arial"/>
                <w:sz w:val="24"/>
                <w:szCs w:val="24"/>
              </w:rPr>
              <w:t>Exceptional items</w:t>
            </w:r>
            <w:r>
              <w:rPr>
                <w:rFonts w:ascii="Arial" w:hAnsi="Arial" w:cs="Arial"/>
                <w:sz w:val="24"/>
                <w:szCs w:val="24"/>
              </w:rPr>
              <w:t xml:space="preserve"> (net)</w:t>
            </w:r>
          </w:p>
        </w:tc>
        <w:tc>
          <w:tcPr>
            <w:tcW w:w="637" w:type="pct"/>
            <w:tcBorders>
              <w:bottom w:val="single" w:sz="4" w:space="0" w:color="auto"/>
            </w:tcBorders>
          </w:tcPr>
          <w:p w:rsidR="00071D62" w:rsidRPr="00995156" w:rsidRDefault="00071D62" w:rsidP="00995156">
            <w:pPr>
              <w:jc w:val="right"/>
              <w:rPr>
                <w:rFonts w:ascii="Arial" w:hAnsi="Arial" w:cs="Arial"/>
                <w:b/>
                <w:bCs/>
                <w:sz w:val="24"/>
                <w:szCs w:val="24"/>
              </w:rPr>
            </w:pPr>
            <w:r w:rsidRPr="00995156">
              <w:rPr>
                <w:rFonts w:ascii="Arial" w:hAnsi="Arial" w:cs="Arial"/>
                <w:b/>
                <w:bCs/>
                <w:sz w:val="24"/>
                <w:szCs w:val="24"/>
              </w:rPr>
              <w:t>-</w:t>
            </w:r>
          </w:p>
        </w:tc>
        <w:tc>
          <w:tcPr>
            <w:tcW w:w="628" w:type="pct"/>
            <w:tcBorders>
              <w:bottom w:val="single" w:sz="4" w:space="0" w:color="auto"/>
            </w:tcBorders>
          </w:tcPr>
          <w:p w:rsidR="00071D62" w:rsidRPr="00995156" w:rsidRDefault="00071D62" w:rsidP="00995156">
            <w:pPr>
              <w:jc w:val="right"/>
              <w:rPr>
                <w:rFonts w:ascii="Arial" w:hAnsi="Arial" w:cs="Arial"/>
                <w:sz w:val="24"/>
                <w:szCs w:val="24"/>
              </w:rPr>
            </w:pPr>
            <w:r w:rsidRPr="00995156">
              <w:rPr>
                <w:rFonts w:ascii="Arial" w:hAnsi="Arial" w:cs="Arial"/>
                <w:sz w:val="24"/>
                <w:szCs w:val="24"/>
              </w:rPr>
              <w:t>7</w:t>
            </w:r>
          </w:p>
        </w:tc>
        <w:tc>
          <w:tcPr>
            <w:tcW w:w="755" w:type="pct"/>
            <w:tcBorders>
              <w:bottom w:val="single" w:sz="4" w:space="0" w:color="auto"/>
            </w:tcBorders>
            <w:vAlign w:val="bottom"/>
          </w:tcPr>
          <w:p w:rsidR="00071D62" w:rsidRPr="00995156" w:rsidRDefault="00071D62" w:rsidP="00995156">
            <w:pPr>
              <w:jc w:val="right"/>
              <w:rPr>
                <w:rFonts w:ascii="Arial" w:hAnsi="Arial" w:cs="Arial"/>
                <w:sz w:val="24"/>
                <w:szCs w:val="24"/>
              </w:rPr>
            </w:pPr>
          </w:p>
        </w:tc>
      </w:tr>
      <w:tr w:rsidR="00071D62" w:rsidRPr="00995156">
        <w:tc>
          <w:tcPr>
            <w:tcW w:w="2980" w:type="pct"/>
            <w:tcBorders>
              <w:top w:val="single" w:sz="4" w:space="0" w:color="auto"/>
            </w:tcBorders>
          </w:tcPr>
          <w:p w:rsidR="00071D62" w:rsidRPr="00995156" w:rsidRDefault="00071D62" w:rsidP="00C05956">
            <w:pPr>
              <w:jc w:val="left"/>
              <w:rPr>
                <w:rFonts w:ascii="Arial" w:hAnsi="Arial" w:cs="Arial"/>
                <w:sz w:val="24"/>
                <w:szCs w:val="24"/>
              </w:rPr>
            </w:pPr>
            <w:r w:rsidRPr="00995156">
              <w:rPr>
                <w:rFonts w:ascii="Arial" w:hAnsi="Arial" w:cs="Arial"/>
                <w:sz w:val="24"/>
                <w:szCs w:val="24"/>
              </w:rPr>
              <w:t xml:space="preserve">Profit before exceptional items and taxation </w:t>
            </w:r>
          </w:p>
        </w:tc>
        <w:tc>
          <w:tcPr>
            <w:tcW w:w="637" w:type="pct"/>
            <w:tcBorders>
              <w:top w:val="single" w:sz="4" w:space="0" w:color="auto"/>
            </w:tcBorders>
          </w:tcPr>
          <w:p w:rsidR="00071D62" w:rsidRPr="00995156" w:rsidRDefault="00071D62" w:rsidP="00995156">
            <w:pPr>
              <w:jc w:val="right"/>
              <w:rPr>
                <w:rFonts w:ascii="Arial" w:hAnsi="Arial" w:cs="Arial"/>
                <w:b/>
                <w:bCs/>
                <w:sz w:val="24"/>
                <w:szCs w:val="24"/>
              </w:rPr>
            </w:pPr>
            <w:r w:rsidRPr="00995156">
              <w:rPr>
                <w:rFonts w:ascii="Arial" w:hAnsi="Arial" w:cs="Arial"/>
                <w:b/>
                <w:bCs/>
                <w:sz w:val="24"/>
                <w:szCs w:val="24"/>
              </w:rPr>
              <w:t>438</w:t>
            </w:r>
          </w:p>
        </w:tc>
        <w:tc>
          <w:tcPr>
            <w:tcW w:w="628" w:type="pct"/>
            <w:tcBorders>
              <w:top w:val="single" w:sz="4" w:space="0" w:color="auto"/>
            </w:tcBorders>
          </w:tcPr>
          <w:p w:rsidR="00071D62" w:rsidRPr="00995156" w:rsidRDefault="00071D62" w:rsidP="00995156">
            <w:pPr>
              <w:jc w:val="right"/>
              <w:rPr>
                <w:rFonts w:ascii="Arial" w:hAnsi="Arial" w:cs="Arial"/>
                <w:sz w:val="24"/>
                <w:szCs w:val="24"/>
              </w:rPr>
            </w:pPr>
            <w:r w:rsidRPr="00995156">
              <w:rPr>
                <w:rFonts w:ascii="Arial" w:hAnsi="Arial" w:cs="Arial"/>
                <w:sz w:val="24"/>
                <w:szCs w:val="24"/>
              </w:rPr>
              <w:t>358</w:t>
            </w:r>
          </w:p>
        </w:tc>
        <w:tc>
          <w:tcPr>
            <w:tcW w:w="755" w:type="pct"/>
            <w:tcBorders>
              <w:top w:val="single" w:sz="4" w:space="0" w:color="auto"/>
            </w:tcBorders>
            <w:vAlign w:val="bottom"/>
          </w:tcPr>
          <w:p w:rsidR="00071D62" w:rsidRPr="00995156" w:rsidRDefault="00071D62" w:rsidP="00995156">
            <w:pPr>
              <w:jc w:val="right"/>
              <w:rPr>
                <w:rFonts w:ascii="Arial" w:hAnsi="Arial" w:cs="Arial"/>
                <w:sz w:val="24"/>
                <w:szCs w:val="24"/>
              </w:rPr>
            </w:pPr>
            <w:r w:rsidRPr="00995156">
              <w:rPr>
                <w:rFonts w:ascii="Arial" w:hAnsi="Arial" w:cs="Arial"/>
                <w:sz w:val="24"/>
                <w:szCs w:val="24"/>
              </w:rPr>
              <w:t>22.3%</w:t>
            </w:r>
          </w:p>
        </w:tc>
      </w:tr>
      <w:tr w:rsidR="00071D62" w:rsidRPr="00995156">
        <w:tc>
          <w:tcPr>
            <w:tcW w:w="2980" w:type="pct"/>
            <w:tcBorders>
              <w:bottom w:val="single" w:sz="4" w:space="0" w:color="auto"/>
            </w:tcBorders>
          </w:tcPr>
          <w:p w:rsidR="00071D62" w:rsidRPr="00995156" w:rsidRDefault="00071D62" w:rsidP="00C05956">
            <w:pPr>
              <w:jc w:val="left"/>
              <w:rPr>
                <w:rFonts w:ascii="Arial" w:hAnsi="Arial" w:cs="Arial"/>
                <w:sz w:val="24"/>
                <w:szCs w:val="24"/>
              </w:rPr>
            </w:pPr>
            <w:r w:rsidRPr="00995156">
              <w:rPr>
                <w:rFonts w:ascii="Arial" w:hAnsi="Arial" w:cs="Arial"/>
                <w:sz w:val="24"/>
                <w:szCs w:val="24"/>
              </w:rPr>
              <w:t>Financing fair value remeasurements</w:t>
            </w:r>
          </w:p>
        </w:tc>
        <w:tc>
          <w:tcPr>
            <w:tcW w:w="637" w:type="pct"/>
            <w:tcBorders>
              <w:bottom w:val="single" w:sz="4" w:space="0" w:color="auto"/>
            </w:tcBorders>
          </w:tcPr>
          <w:p w:rsidR="00071D62" w:rsidRPr="00995156" w:rsidRDefault="00071D62" w:rsidP="00995156">
            <w:pPr>
              <w:jc w:val="right"/>
              <w:rPr>
                <w:rFonts w:ascii="Arial" w:hAnsi="Arial" w:cs="Arial"/>
                <w:b/>
                <w:bCs/>
                <w:sz w:val="24"/>
                <w:szCs w:val="24"/>
              </w:rPr>
            </w:pPr>
            <w:r w:rsidRPr="00995156">
              <w:rPr>
                <w:rFonts w:ascii="Arial" w:hAnsi="Arial" w:cs="Arial"/>
                <w:b/>
                <w:bCs/>
                <w:sz w:val="24"/>
                <w:szCs w:val="24"/>
              </w:rPr>
              <w:t>1</w:t>
            </w:r>
          </w:p>
        </w:tc>
        <w:tc>
          <w:tcPr>
            <w:tcW w:w="628" w:type="pct"/>
            <w:tcBorders>
              <w:bottom w:val="single" w:sz="4" w:space="0" w:color="auto"/>
            </w:tcBorders>
          </w:tcPr>
          <w:p w:rsidR="00071D62" w:rsidRPr="00995156" w:rsidRDefault="00071D62" w:rsidP="00995156">
            <w:pPr>
              <w:jc w:val="right"/>
              <w:rPr>
                <w:rFonts w:ascii="Arial" w:hAnsi="Arial" w:cs="Arial"/>
                <w:sz w:val="24"/>
                <w:szCs w:val="24"/>
              </w:rPr>
            </w:pPr>
            <w:r w:rsidRPr="00995156">
              <w:rPr>
                <w:rFonts w:ascii="Arial" w:hAnsi="Arial" w:cs="Arial"/>
                <w:sz w:val="24"/>
                <w:szCs w:val="24"/>
              </w:rPr>
              <w:t>(4)</w:t>
            </w:r>
          </w:p>
        </w:tc>
        <w:tc>
          <w:tcPr>
            <w:tcW w:w="755" w:type="pct"/>
            <w:tcBorders>
              <w:bottom w:val="single" w:sz="4" w:space="0" w:color="auto"/>
            </w:tcBorders>
            <w:vAlign w:val="bottom"/>
          </w:tcPr>
          <w:p w:rsidR="00071D62" w:rsidRPr="00995156" w:rsidRDefault="00071D62" w:rsidP="004948B3">
            <w:pPr>
              <w:rPr>
                <w:rFonts w:ascii="Arial" w:hAnsi="Arial" w:cs="Arial"/>
                <w:sz w:val="24"/>
                <w:szCs w:val="24"/>
              </w:rPr>
            </w:pPr>
          </w:p>
        </w:tc>
      </w:tr>
      <w:tr w:rsidR="00071D62" w:rsidRPr="00995156">
        <w:tc>
          <w:tcPr>
            <w:tcW w:w="2980" w:type="pct"/>
            <w:tcBorders>
              <w:top w:val="single" w:sz="4" w:space="0" w:color="auto"/>
            </w:tcBorders>
          </w:tcPr>
          <w:p w:rsidR="00071D62" w:rsidRPr="003305F3" w:rsidRDefault="00071D62" w:rsidP="00C05956">
            <w:pPr>
              <w:jc w:val="left"/>
              <w:rPr>
                <w:rFonts w:ascii="Arial" w:hAnsi="Arial" w:cs="Arial"/>
                <w:b/>
                <w:bCs/>
                <w:sz w:val="24"/>
                <w:szCs w:val="24"/>
              </w:rPr>
            </w:pPr>
            <w:r w:rsidRPr="001E35B4">
              <w:rPr>
                <w:rFonts w:ascii="Arial" w:hAnsi="Arial" w:cs="Arial"/>
                <w:b/>
                <w:bCs/>
                <w:sz w:val="24"/>
                <w:szCs w:val="24"/>
              </w:rPr>
              <w:t>Adjusted pre-tax profit</w:t>
            </w:r>
          </w:p>
        </w:tc>
        <w:tc>
          <w:tcPr>
            <w:tcW w:w="637" w:type="pct"/>
            <w:tcBorders>
              <w:top w:val="single" w:sz="4" w:space="0" w:color="auto"/>
            </w:tcBorders>
          </w:tcPr>
          <w:p w:rsidR="00071D62" w:rsidRPr="00995156" w:rsidRDefault="00071D62" w:rsidP="00995156">
            <w:pPr>
              <w:jc w:val="right"/>
              <w:rPr>
                <w:rFonts w:ascii="Arial" w:hAnsi="Arial" w:cs="Arial"/>
                <w:b/>
                <w:bCs/>
                <w:sz w:val="24"/>
                <w:szCs w:val="24"/>
              </w:rPr>
            </w:pPr>
            <w:r w:rsidRPr="00995156">
              <w:rPr>
                <w:rFonts w:ascii="Arial" w:hAnsi="Arial" w:cs="Arial"/>
                <w:b/>
                <w:bCs/>
                <w:sz w:val="24"/>
                <w:szCs w:val="24"/>
              </w:rPr>
              <w:t>439</w:t>
            </w:r>
          </w:p>
        </w:tc>
        <w:tc>
          <w:tcPr>
            <w:tcW w:w="628" w:type="pct"/>
            <w:tcBorders>
              <w:top w:val="single" w:sz="4" w:space="0" w:color="auto"/>
            </w:tcBorders>
          </w:tcPr>
          <w:p w:rsidR="00071D62" w:rsidRPr="00995156" w:rsidRDefault="00071D62" w:rsidP="00995156">
            <w:pPr>
              <w:jc w:val="right"/>
              <w:rPr>
                <w:rFonts w:ascii="Arial" w:hAnsi="Arial" w:cs="Arial"/>
                <w:sz w:val="24"/>
                <w:szCs w:val="24"/>
              </w:rPr>
            </w:pPr>
            <w:r w:rsidRPr="00995156">
              <w:rPr>
                <w:rFonts w:ascii="Arial" w:hAnsi="Arial" w:cs="Arial"/>
                <w:sz w:val="24"/>
                <w:szCs w:val="24"/>
              </w:rPr>
              <w:t>354</w:t>
            </w:r>
          </w:p>
        </w:tc>
        <w:tc>
          <w:tcPr>
            <w:tcW w:w="755" w:type="pct"/>
            <w:tcBorders>
              <w:top w:val="single" w:sz="4" w:space="0" w:color="auto"/>
            </w:tcBorders>
            <w:vAlign w:val="bottom"/>
          </w:tcPr>
          <w:p w:rsidR="00071D62" w:rsidRPr="00995156" w:rsidRDefault="00071D62" w:rsidP="00995156">
            <w:pPr>
              <w:jc w:val="right"/>
              <w:rPr>
                <w:rFonts w:ascii="Arial" w:hAnsi="Arial" w:cs="Arial"/>
                <w:sz w:val="24"/>
                <w:szCs w:val="24"/>
              </w:rPr>
            </w:pPr>
            <w:r w:rsidRPr="00995156">
              <w:rPr>
                <w:rFonts w:ascii="Arial" w:hAnsi="Arial" w:cs="Arial"/>
                <w:sz w:val="24"/>
                <w:szCs w:val="24"/>
              </w:rPr>
              <w:t>24.0%</w:t>
            </w:r>
          </w:p>
        </w:tc>
      </w:tr>
      <w:tr w:rsidR="00071D62" w:rsidRPr="0000423D">
        <w:tc>
          <w:tcPr>
            <w:tcW w:w="2980" w:type="pct"/>
          </w:tcPr>
          <w:p w:rsidR="00071D62" w:rsidRPr="00C05956" w:rsidRDefault="00071D62" w:rsidP="00C05956">
            <w:pPr>
              <w:jc w:val="left"/>
              <w:rPr>
                <w:rFonts w:ascii="Arial" w:hAnsi="Arial" w:cs="Arial"/>
                <w:sz w:val="24"/>
                <w:szCs w:val="24"/>
              </w:rPr>
            </w:pPr>
            <w:r w:rsidRPr="00C05956">
              <w:rPr>
                <w:rFonts w:ascii="Arial" w:hAnsi="Arial" w:cs="Arial"/>
                <w:sz w:val="24"/>
                <w:szCs w:val="24"/>
              </w:rPr>
              <w:t>Income tax expense on pre-exceptional profit</w:t>
            </w:r>
          </w:p>
        </w:tc>
        <w:tc>
          <w:tcPr>
            <w:tcW w:w="637" w:type="pct"/>
          </w:tcPr>
          <w:p w:rsidR="00071D62" w:rsidRPr="0000423D" w:rsidRDefault="00071D62" w:rsidP="0061357D">
            <w:pPr>
              <w:jc w:val="right"/>
              <w:rPr>
                <w:rFonts w:ascii="Arial" w:hAnsi="Arial" w:cs="Arial"/>
                <w:b/>
                <w:bCs/>
                <w:sz w:val="24"/>
                <w:szCs w:val="24"/>
              </w:rPr>
            </w:pPr>
            <w:r w:rsidRPr="0000423D">
              <w:rPr>
                <w:rFonts w:ascii="Arial" w:hAnsi="Arial" w:cs="Arial"/>
                <w:b/>
                <w:bCs/>
                <w:sz w:val="24"/>
                <w:szCs w:val="24"/>
              </w:rPr>
              <w:t>(118)</w:t>
            </w:r>
          </w:p>
        </w:tc>
        <w:tc>
          <w:tcPr>
            <w:tcW w:w="628" w:type="pct"/>
          </w:tcPr>
          <w:p w:rsidR="00071D62" w:rsidRPr="0000423D" w:rsidRDefault="00071D62" w:rsidP="0061357D">
            <w:pPr>
              <w:jc w:val="right"/>
              <w:rPr>
                <w:rFonts w:ascii="Arial" w:hAnsi="Arial" w:cs="Arial"/>
                <w:sz w:val="24"/>
                <w:szCs w:val="24"/>
              </w:rPr>
            </w:pPr>
            <w:r>
              <w:rPr>
                <w:rFonts w:ascii="Arial" w:hAnsi="Arial" w:cs="Arial"/>
                <w:sz w:val="24"/>
                <w:szCs w:val="24"/>
              </w:rPr>
              <w:t>(107)</w:t>
            </w:r>
          </w:p>
        </w:tc>
        <w:tc>
          <w:tcPr>
            <w:tcW w:w="755" w:type="pct"/>
            <w:vAlign w:val="bottom"/>
          </w:tcPr>
          <w:p w:rsidR="00071D62" w:rsidRPr="0000423D" w:rsidRDefault="00071D62" w:rsidP="0061357D">
            <w:pPr>
              <w:jc w:val="right"/>
              <w:rPr>
                <w:rFonts w:ascii="Arial" w:hAnsi="Arial" w:cs="Arial"/>
                <w:sz w:val="24"/>
                <w:szCs w:val="24"/>
              </w:rPr>
            </w:pPr>
          </w:p>
        </w:tc>
      </w:tr>
      <w:tr w:rsidR="00071D62" w:rsidRPr="0000423D">
        <w:tc>
          <w:tcPr>
            <w:tcW w:w="2980" w:type="pct"/>
          </w:tcPr>
          <w:p w:rsidR="00071D62" w:rsidRPr="00C05956" w:rsidRDefault="00071D62" w:rsidP="00C05956">
            <w:pPr>
              <w:jc w:val="left"/>
              <w:rPr>
                <w:rFonts w:ascii="Arial" w:hAnsi="Arial" w:cs="Arial"/>
                <w:sz w:val="24"/>
                <w:szCs w:val="24"/>
              </w:rPr>
            </w:pPr>
            <w:r w:rsidRPr="00C05956">
              <w:rPr>
                <w:rFonts w:ascii="Arial" w:hAnsi="Arial" w:cs="Arial"/>
                <w:sz w:val="24"/>
                <w:szCs w:val="24"/>
              </w:rPr>
              <w:t>Impact of prior year items on income tax</w:t>
            </w:r>
          </w:p>
        </w:tc>
        <w:tc>
          <w:tcPr>
            <w:tcW w:w="637" w:type="pct"/>
          </w:tcPr>
          <w:p w:rsidR="00071D62" w:rsidRPr="0000423D" w:rsidRDefault="00071D62" w:rsidP="0061357D">
            <w:pPr>
              <w:jc w:val="right"/>
              <w:rPr>
                <w:rFonts w:ascii="Arial" w:hAnsi="Arial" w:cs="Arial"/>
                <w:b/>
                <w:bCs/>
                <w:sz w:val="24"/>
                <w:szCs w:val="24"/>
              </w:rPr>
            </w:pPr>
            <w:r w:rsidRPr="0000423D">
              <w:rPr>
                <w:rFonts w:ascii="Arial" w:hAnsi="Arial" w:cs="Arial"/>
                <w:b/>
                <w:bCs/>
                <w:sz w:val="24"/>
                <w:szCs w:val="24"/>
              </w:rPr>
              <w:t>(6)</w:t>
            </w:r>
          </w:p>
        </w:tc>
        <w:tc>
          <w:tcPr>
            <w:tcW w:w="628" w:type="pct"/>
          </w:tcPr>
          <w:p w:rsidR="00071D62" w:rsidRPr="0000423D" w:rsidRDefault="00071D62" w:rsidP="0061357D">
            <w:pPr>
              <w:jc w:val="right"/>
              <w:rPr>
                <w:rFonts w:ascii="Arial" w:hAnsi="Arial" w:cs="Arial"/>
                <w:sz w:val="24"/>
                <w:szCs w:val="24"/>
              </w:rPr>
            </w:pPr>
            <w:r>
              <w:rPr>
                <w:rFonts w:ascii="Arial" w:hAnsi="Arial" w:cs="Arial"/>
                <w:sz w:val="24"/>
                <w:szCs w:val="24"/>
              </w:rPr>
              <w:t>(2)</w:t>
            </w:r>
          </w:p>
        </w:tc>
        <w:tc>
          <w:tcPr>
            <w:tcW w:w="755" w:type="pct"/>
            <w:vAlign w:val="bottom"/>
          </w:tcPr>
          <w:p w:rsidR="00071D62" w:rsidRPr="0000423D" w:rsidRDefault="00071D62" w:rsidP="0061357D">
            <w:pPr>
              <w:jc w:val="right"/>
              <w:rPr>
                <w:rFonts w:ascii="Arial" w:hAnsi="Arial" w:cs="Arial"/>
                <w:sz w:val="24"/>
                <w:szCs w:val="24"/>
              </w:rPr>
            </w:pPr>
          </w:p>
        </w:tc>
      </w:tr>
      <w:tr w:rsidR="00071D62" w:rsidRPr="0000423D">
        <w:tc>
          <w:tcPr>
            <w:tcW w:w="2980" w:type="pct"/>
            <w:tcBorders>
              <w:bottom w:val="single" w:sz="4" w:space="0" w:color="auto"/>
            </w:tcBorders>
          </w:tcPr>
          <w:p w:rsidR="00071D62" w:rsidRPr="00C05956" w:rsidRDefault="00071D62" w:rsidP="00C05956">
            <w:pPr>
              <w:jc w:val="left"/>
              <w:rPr>
                <w:rFonts w:ascii="Arial" w:hAnsi="Arial" w:cs="Arial"/>
                <w:sz w:val="24"/>
                <w:szCs w:val="24"/>
              </w:rPr>
            </w:pPr>
            <w:r w:rsidRPr="00C05956">
              <w:rPr>
                <w:rFonts w:ascii="Arial" w:hAnsi="Arial" w:cs="Arial"/>
                <w:sz w:val="24"/>
                <w:szCs w:val="24"/>
              </w:rPr>
              <w:t>Income tax on fair value remeasurements</w:t>
            </w:r>
          </w:p>
        </w:tc>
        <w:tc>
          <w:tcPr>
            <w:tcW w:w="637" w:type="pct"/>
            <w:tcBorders>
              <w:bottom w:val="single" w:sz="4" w:space="0" w:color="auto"/>
            </w:tcBorders>
          </w:tcPr>
          <w:p w:rsidR="00071D62" w:rsidRPr="0000423D" w:rsidRDefault="00071D62" w:rsidP="0061357D">
            <w:pPr>
              <w:jc w:val="right"/>
              <w:rPr>
                <w:rFonts w:ascii="Arial" w:hAnsi="Arial" w:cs="Arial"/>
                <w:b/>
                <w:bCs/>
                <w:sz w:val="24"/>
                <w:szCs w:val="24"/>
              </w:rPr>
            </w:pPr>
            <w:r w:rsidRPr="0000423D">
              <w:rPr>
                <w:rFonts w:ascii="Arial" w:hAnsi="Arial" w:cs="Arial"/>
                <w:b/>
                <w:bCs/>
                <w:sz w:val="24"/>
                <w:szCs w:val="24"/>
              </w:rPr>
              <w:t>-</w:t>
            </w:r>
          </w:p>
        </w:tc>
        <w:tc>
          <w:tcPr>
            <w:tcW w:w="628" w:type="pct"/>
            <w:tcBorders>
              <w:bottom w:val="single" w:sz="4" w:space="0" w:color="auto"/>
            </w:tcBorders>
          </w:tcPr>
          <w:p w:rsidR="00071D62" w:rsidRPr="0000423D" w:rsidRDefault="00071D62" w:rsidP="0061357D">
            <w:pPr>
              <w:jc w:val="right"/>
              <w:rPr>
                <w:rFonts w:ascii="Arial" w:hAnsi="Arial" w:cs="Arial"/>
                <w:sz w:val="24"/>
                <w:szCs w:val="24"/>
              </w:rPr>
            </w:pPr>
            <w:r>
              <w:rPr>
                <w:rFonts w:ascii="Arial" w:hAnsi="Arial" w:cs="Arial"/>
                <w:sz w:val="24"/>
                <w:szCs w:val="24"/>
              </w:rPr>
              <w:t>1</w:t>
            </w:r>
          </w:p>
        </w:tc>
        <w:tc>
          <w:tcPr>
            <w:tcW w:w="755" w:type="pct"/>
            <w:tcBorders>
              <w:bottom w:val="single" w:sz="4" w:space="0" w:color="auto"/>
            </w:tcBorders>
            <w:vAlign w:val="bottom"/>
          </w:tcPr>
          <w:p w:rsidR="00071D62" w:rsidRPr="0000423D" w:rsidRDefault="00071D62" w:rsidP="0061357D">
            <w:pPr>
              <w:jc w:val="right"/>
              <w:rPr>
                <w:rFonts w:ascii="Arial" w:hAnsi="Arial" w:cs="Arial"/>
                <w:sz w:val="24"/>
                <w:szCs w:val="24"/>
              </w:rPr>
            </w:pPr>
          </w:p>
        </w:tc>
      </w:tr>
      <w:tr w:rsidR="00071D62" w:rsidRPr="0000423D">
        <w:tc>
          <w:tcPr>
            <w:tcW w:w="2980" w:type="pct"/>
            <w:tcBorders>
              <w:top w:val="single" w:sz="4" w:space="0" w:color="auto"/>
            </w:tcBorders>
          </w:tcPr>
          <w:p w:rsidR="00071D62" w:rsidRPr="00C05956" w:rsidRDefault="00071D62" w:rsidP="00C05956">
            <w:pPr>
              <w:jc w:val="left"/>
              <w:rPr>
                <w:rFonts w:ascii="Arial" w:hAnsi="Arial" w:cs="Arial"/>
                <w:sz w:val="24"/>
                <w:szCs w:val="24"/>
              </w:rPr>
            </w:pPr>
            <w:r w:rsidRPr="00C05956">
              <w:rPr>
                <w:rFonts w:ascii="Arial" w:hAnsi="Arial" w:cs="Arial"/>
                <w:sz w:val="24"/>
                <w:szCs w:val="24"/>
              </w:rPr>
              <w:t>Adjusted post-tax profit</w:t>
            </w:r>
          </w:p>
        </w:tc>
        <w:tc>
          <w:tcPr>
            <w:tcW w:w="637" w:type="pct"/>
            <w:tcBorders>
              <w:top w:val="single" w:sz="4" w:space="0" w:color="auto"/>
            </w:tcBorders>
          </w:tcPr>
          <w:p w:rsidR="00071D62" w:rsidRPr="0000423D" w:rsidRDefault="00071D62" w:rsidP="0061357D">
            <w:pPr>
              <w:jc w:val="right"/>
              <w:rPr>
                <w:rFonts w:ascii="Arial" w:hAnsi="Arial" w:cs="Arial"/>
                <w:b/>
                <w:bCs/>
                <w:sz w:val="24"/>
                <w:szCs w:val="24"/>
              </w:rPr>
            </w:pPr>
            <w:r w:rsidRPr="0000423D">
              <w:rPr>
                <w:rFonts w:ascii="Arial" w:hAnsi="Arial" w:cs="Arial"/>
                <w:b/>
                <w:bCs/>
                <w:sz w:val="24"/>
                <w:szCs w:val="24"/>
              </w:rPr>
              <w:t>315</w:t>
            </w:r>
          </w:p>
        </w:tc>
        <w:tc>
          <w:tcPr>
            <w:tcW w:w="628" w:type="pct"/>
            <w:tcBorders>
              <w:top w:val="single" w:sz="4" w:space="0" w:color="auto"/>
            </w:tcBorders>
          </w:tcPr>
          <w:p w:rsidR="00071D62" w:rsidRPr="0000423D" w:rsidRDefault="00071D62" w:rsidP="0061357D">
            <w:pPr>
              <w:jc w:val="right"/>
              <w:rPr>
                <w:rFonts w:ascii="Arial" w:hAnsi="Arial" w:cs="Arial"/>
                <w:sz w:val="24"/>
                <w:szCs w:val="24"/>
              </w:rPr>
            </w:pPr>
            <w:r>
              <w:rPr>
                <w:rFonts w:ascii="Arial" w:hAnsi="Arial" w:cs="Arial"/>
                <w:sz w:val="24"/>
                <w:szCs w:val="24"/>
              </w:rPr>
              <w:t>246</w:t>
            </w:r>
          </w:p>
        </w:tc>
        <w:tc>
          <w:tcPr>
            <w:tcW w:w="755" w:type="pct"/>
            <w:tcBorders>
              <w:top w:val="single" w:sz="4" w:space="0" w:color="auto"/>
            </w:tcBorders>
            <w:vAlign w:val="bottom"/>
          </w:tcPr>
          <w:p w:rsidR="00071D62" w:rsidRPr="0000423D" w:rsidRDefault="00071D62" w:rsidP="0061357D">
            <w:pPr>
              <w:jc w:val="right"/>
              <w:rPr>
                <w:rFonts w:ascii="Arial" w:hAnsi="Arial" w:cs="Arial"/>
                <w:sz w:val="24"/>
                <w:szCs w:val="24"/>
              </w:rPr>
            </w:pPr>
            <w:r>
              <w:rPr>
                <w:rFonts w:ascii="Arial" w:hAnsi="Arial" w:cs="Arial"/>
                <w:sz w:val="24"/>
                <w:szCs w:val="24"/>
              </w:rPr>
              <w:t>28.0%</w:t>
            </w:r>
          </w:p>
        </w:tc>
      </w:tr>
      <w:tr w:rsidR="00071D62" w:rsidRPr="0000423D">
        <w:tc>
          <w:tcPr>
            <w:tcW w:w="2980" w:type="pct"/>
            <w:tcBorders>
              <w:bottom w:val="single" w:sz="4" w:space="0" w:color="auto"/>
            </w:tcBorders>
          </w:tcPr>
          <w:p w:rsidR="00071D62" w:rsidRPr="00C05956" w:rsidRDefault="00071D62" w:rsidP="00C05956">
            <w:pPr>
              <w:jc w:val="left"/>
              <w:rPr>
                <w:rFonts w:ascii="Arial" w:hAnsi="Arial" w:cs="Arial"/>
                <w:sz w:val="24"/>
                <w:szCs w:val="24"/>
              </w:rPr>
            </w:pPr>
            <w:r w:rsidRPr="00C05956">
              <w:rPr>
                <w:rFonts w:ascii="Arial" w:hAnsi="Arial" w:cs="Arial"/>
                <w:sz w:val="24"/>
                <w:szCs w:val="24"/>
              </w:rPr>
              <w:t>Minority interests</w:t>
            </w:r>
          </w:p>
        </w:tc>
        <w:tc>
          <w:tcPr>
            <w:tcW w:w="637" w:type="pct"/>
            <w:tcBorders>
              <w:bottom w:val="single" w:sz="4" w:space="0" w:color="auto"/>
            </w:tcBorders>
          </w:tcPr>
          <w:p w:rsidR="00071D62" w:rsidRPr="0000423D" w:rsidRDefault="00071D62" w:rsidP="0061357D">
            <w:pPr>
              <w:jc w:val="right"/>
              <w:rPr>
                <w:rFonts w:ascii="Arial" w:hAnsi="Arial" w:cs="Arial"/>
                <w:b/>
                <w:bCs/>
                <w:sz w:val="24"/>
                <w:szCs w:val="24"/>
              </w:rPr>
            </w:pPr>
            <w:r w:rsidRPr="0000423D">
              <w:rPr>
                <w:rFonts w:ascii="Arial" w:hAnsi="Arial" w:cs="Arial"/>
                <w:b/>
                <w:bCs/>
                <w:sz w:val="24"/>
                <w:szCs w:val="24"/>
              </w:rPr>
              <w:t>1</w:t>
            </w:r>
          </w:p>
        </w:tc>
        <w:tc>
          <w:tcPr>
            <w:tcW w:w="628" w:type="pct"/>
            <w:tcBorders>
              <w:bottom w:val="single" w:sz="4" w:space="0" w:color="auto"/>
            </w:tcBorders>
          </w:tcPr>
          <w:p w:rsidR="00071D62" w:rsidRPr="0000423D" w:rsidRDefault="00071D62" w:rsidP="0061357D">
            <w:pPr>
              <w:jc w:val="right"/>
              <w:rPr>
                <w:rFonts w:ascii="Arial" w:hAnsi="Arial" w:cs="Arial"/>
                <w:sz w:val="24"/>
                <w:szCs w:val="24"/>
              </w:rPr>
            </w:pPr>
            <w:r>
              <w:rPr>
                <w:rFonts w:ascii="Arial" w:hAnsi="Arial" w:cs="Arial"/>
                <w:sz w:val="24"/>
                <w:szCs w:val="24"/>
              </w:rPr>
              <w:t>2</w:t>
            </w:r>
          </w:p>
        </w:tc>
        <w:tc>
          <w:tcPr>
            <w:tcW w:w="755" w:type="pct"/>
            <w:tcBorders>
              <w:bottom w:val="single" w:sz="4" w:space="0" w:color="auto"/>
            </w:tcBorders>
            <w:vAlign w:val="bottom"/>
          </w:tcPr>
          <w:p w:rsidR="00071D62" w:rsidRPr="0000423D" w:rsidRDefault="00071D62" w:rsidP="0061357D">
            <w:pPr>
              <w:jc w:val="right"/>
              <w:rPr>
                <w:rFonts w:ascii="Arial" w:hAnsi="Arial" w:cs="Arial"/>
                <w:sz w:val="24"/>
                <w:szCs w:val="24"/>
              </w:rPr>
            </w:pPr>
          </w:p>
        </w:tc>
      </w:tr>
      <w:tr w:rsidR="00071D62" w:rsidRPr="0000423D">
        <w:trPr>
          <w:trHeight w:val="459"/>
        </w:trPr>
        <w:tc>
          <w:tcPr>
            <w:tcW w:w="2980" w:type="pct"/>
            <w:tcBorders>
              <w:top w:val="single" w:sz="4" w:space="0" w:color="auto"/>
              <w:bottom w:val="single" w:sz="4" w:space="0" w:color="auto"/>
            </w:tcBorders>
          </w:tcPr>
          <w:p w:rsidR="00071D62" w:rsidRPr="00C05956" w:rsidRDefault="00071D62" w:rsidP="00C05956">
            <w:pPr>
              <w:jc w:val="left"/>
              <w:rPr>
                <w:rFonts w:ascii="Arial" w:hAnsi="Arial" w:cs="Arial"/>
                <w:b/>
                <w:bCs/>
                <w:sz w:val="24"/>
                <w:szCs w:val="24"/>
              </w:rPr>
            </w:pPr>
            <w:r w:rsidRPr="00C05956">
              <w:rPr>
                <w:rFonts w:ascii="Arial" w:hAnsi="Arial" w:cs="Arial"/>
                <w:b/>
                <w:bCs/>
                <w:sz w:val="24"/>
                <w:szCs w:val="24"/>
              </w:rPr>
              <w:t>Adjusted post-tax profit attributable to equity shareholders</w:t>
            </w:r>
          </w:p>
        </w:tc>
        <w:tc>
          <w:tcPr>
            <w:tcW w:w="637" w:type="pct"/>
            <w:tcBorders>
              <w:top w:val="single" w:sz="4" w:space="0" w:color="auto"/>
              <w:bottom w:val="single" w:sz="4" w:space="0" w:color="auto"/>
            </w:tcBorders>
          </w:tcPr>
          <w:p w:rsidR="00071D62" w:rsidRPr="0000423D" w:rsidRDefault="00071D62" w:rsidP="0061357D">
            <w:pPr>
              <w:jc w:val="right"/>
              <w:rPr>
                <w:rFonts w:ascii="Arial" w:hAnsi="Arial" w:cs="Arial"/>
                <w:b/>
                <w:bCs/>
                <w:sz w:val="24"/>
                <w:szCs w:val="24"/>
              </w:rPr>
            </w:pPr>
          </w:p>
          <w:p w:rsidR="00071D62" w:rsidRPr="0000423D" w:rsidRDefault="00071D62" w:rsidP="0061357D">
            <w:pPr>
              <w:jc w:val="right"/>
              <w:rPr>
                <w:rFonts w:ascii="Arial" w:hAnsi="Arial" w:cs="Arial"/>
                <w:b/>
                <w:bCs/>
                <w:sz w:val="24"/>
                <w:szCs w:val="24"/>
              </w:rPr>
            </w:pPr>
            <w:r w:rsidRPr="0000423D">
              <w:rPr>
                <w:rFonts w:ascii="Arial" w:hAnsi="Arial" w:cs="Arial"/>
                <w:b/>
                <w:bCs/>
                <w:sz w:val="24"/>
                <w:szCs w:val="24"/>
              </w:rPr>
              <w:t>316</w:t>
            </w:r>
          </w:p>
        </w:tc>
        <w:tc>
          <w:tcPr>
            <w:tcW w:w="628" w:type="pct"/>
            <w:tcBorders>
              <w:top w:val="single" w:sz="4" w:space="0" w:color="auto"/>
              <w:bottom w:val="single" w:sz="4" w:space="0" w:color="auto"/>
            </w:tcBorders>
          </w:tcPr>
          <w:p w:rsidR="00071D62" w:rsidRDefault="00071D62" w:rsidP="0061357D">
            <w:pPr>
              <w:jc w:val="right"/>
              <w:rPr>
                <w:rFonts w:ascii="Arial" w:hAnsi="Arial" w:cs="Arial"/>
                <w:sz w:val="24"/>
                <w:szCs w:val="24"/>
              </w:rPr>
            </w:pPr>
          </w:p>
          <w:p w:rsidR="00071D62" w:rsidRPr="0000423D" w:rsidRDefault="00071D62" w:rsidP="0061357D">
            <w:pPr>
              <w:jc w:val="right"/>
              <w:rPr>
                <w:rFonts w:ascii="Arial" w:hAnsi="Arial" w:cs="Arial"/>
                <w:sz w:val="24"/>
                <w:szCs w:val="24"/>
              </w:rPr>
            </w:pPr>
            <w:r>
              <w:rPr>
                <w:rFonts w:ascii="Arial" w:hAnsi="Arial" w:cs="Arial"/>
                <w:sz w:val="24"/>
                <w:szCs w:val="24"/>
              </w:rPr>
              <w:t>248</w:t>
            </w:r>
          </w:p>
        </w:tc>
        <w:tc>
          <w:tcPr>
            <w:tcW w:w="755" w:type="pct"/>
            <w:tcBorders>
              <w:top w:val="single" w:sz="4" w:space="0" w:color="auto"/>
              <w:bottom w:val="single" w:sz="4" w:space="0" w:color="auto"/>
            </w:tcBorders>
            <w:vAlign w:val="bottom"/>
          </w:tcPr>
          <w:p w:rsidR="00071D62" w:rsidRPr="0000423D" w:rsidRDefault="00071D62" w:rsidP="0061357D">
            <w:pPr>
              <w:jc w:val="right"/>
              <w:rPr>
                <w:rFonts w:ascii="Arial" w:hAnsi="Arial" w:cs="Arial"/>
                <w:sz w:val="24"/>
                <w:szCs w:val="24"/>
              </w:rPr>
            </w:pPr>
            <w:r>
              <w:rPr>
                <w:rFonts w:ascii="Arial" w:hAnsi="Arial" w:cs="Arial"/>
                <w:sz w:val="24"/>
                <w:szCs w:val="24"/>
              </w:rPr>
              <w:t>27.4%</w:t>
            </w:r>
          </w:p>
        </w:tc>
      </w:tr>
    </w:tbl>
    <w:p w:rsidR="00071D62" w:rsidRDefault="00071D62" w:rsidP="00995156">
      <w:pPr>
        <w:rPr>
          <w:rFonts w:ascii="Arial" w:hAnsi="Arial" w:cs="Arial"/>
          <w:sz w:val="24"/>
          <w:szCs w:val="24"/>
        </w:rPr>
      </w:pPr>
    </w:p>
    <w:p w:rsidR="00071D62" w:rsidRDefault="00071D62" w:rsidP="00995156">
      <w:pPr>
        <w:jc w:val="left"/>
        <w:rPr>
          <w:rFonts w:ascii="Arial" w:hAnsi="Arial" w:cs="Arial"/>
          <w:sz w:val="24"/>
          <w:szCs w:val="24"/>
        </w:rPr>
      </w:pPr>
      <w:r>
        <w:rPr>
          <w:rFonts w:ascii="Arial" w:hAnsi="Arial" w:cs="Arial"/>
          <w:sz w:val="24"/>
          <w:szCs w:val="24"/>
        </w:rPr>
        <w:t>Profit after tax and EPS including all exceptional items for the six months ended 30 July 2011</w:t>
      </w:r>
      <w:r w:rsidRPr="00014F94">
        <w:rPr>
          <w:rFonts w:ascii="Arial" w:hAnsi="Arial" w:cs="Arial"/>
          <w:sz w:val="24"/>
          <w:szCs w:val="24"/>
        </w:rPr>
        <w:t xml:space="preserve"> </w:t>
      </w:r>
      <w:r>
        <w:rPr>
          <w:rFonts w:ascii="Arial" w:hAnsi="Arial" w:cs="Arial"/>
          <w:sz w:val="24"/>
          <w:szCs w:val="24"/>
        </w:rPr>
        <w:t>is set out below:</w:t>
      </w:r>
    </w:p>
    <w:p w:rsidR="00071D62" w:rsidRDefault="00071D62" w:rsidP="00995156">
      <w:pPr>
        <w:jc w:val="left"/>
        <w:rPr>
          <w:rFonts w:ascii="Arial" w:hAnsi="Arial" w:cs="Arial"/>
          <w:sz w:val="24"/>
          <w:szCs w:val="24"/>
        </w:rPr>
      </w:pPr>
    </w:p>
    <w:tbl>
      <w:tblPr>
        <w:tblW w:w="5001" w:type="pct"/>
        <w:tblInd w:w="2" w:type="dxa"/>
        <w:tblLook w:val="01E0"/>
      </w:tblPr>
      <w:tblGrid>
        <w:gridCol w:w="5808"/>
        <w:gridCol w:w="1221"/>
        <w:gridCol w:w="1341"/>
        <w:gridCol w:w="1489"/>
      </w:tblGrid>
      <w:tr w:rsidR="00071D62" w:rsidRPr="00995156">
        <w:tc>
          <w:tcPr>
            <w:tcW w:w="2945" w:type="pct"/>
            <w:tcBorders>
              <w:bottom w:val="single" w:sz="4" w:space="0" w:color="auto"/>
            </w:tcBorders>
          </w:tcPr>
          <w:p w:rsidR="00071D62" w:rsidRPr="00995156" w:rsidRDefault="00071D62" w:rsidP="00995156">
            <w:pPr>
              <w:jc w:val="right"/>
              <w:rPr>
                <w:rFonts w:ascii="Arial" w:hAnsi="Arial" w:cs="Arial"/>
                <w:sz w:val="24"/>
                <w:szCs w:val="24"/>
              </w:rPr>
            </w:pPr>
          </w:p>
        </w:tc>
        <w:tc>
          <w:tcPr>
            <w:tcW w:w="619" w:type="pct"/>
            <w:tcBorders>
              <w:bottom w:val="single" w:sz="4" w:space="0" w:color="auto"/>
            </w:tcBorders>
          </w:tcPr>
          <w:p w:rsidR="00071D62" w:rsidRPr="00995156" w:rsidRDefault="00071D62" w:rsidP="00995156">
            <w:pPr>
              <w:jc w:val="right"/>
              <w:rPr>
                <w:rFonts w:ascii="Arial" w:hAnsi="Arial" w:cs="Arial"/>
                <w:b/>
                <w:bCs/>
                <w:sz w:val="24"/>
                <w:szCs w:val="24"/>
              </w:rPr>
            </w:pPr>
            <w:r w:rsidRPr="00995156">
              <w:rPr>
                <w:rFonts w:ascii="Arial" w:hAnsi="Arial" w:cs="Arial"/>
                <w:b/>
                <w:bCs/>
                <w:sz w:val="24"/>
                <w:szCs w:val="24"/>
              </w:rPr>
              <w:t>2011/12</w:t>
            </w:r>
          </w:p>
          <w:p w:rsidR="00071D62" w:rsidRPr="00995156" w:rsidRDefault="00071D62" w:rsidP="00995156">
            <w:pPr>
              <w:jc w:val="right"/>
              <w:rPr>
                <w:rFonts w:ascii="Arial" w:hAnsi="Arial" w:cs="Arial"/>
                <w:b/>
                <w:bCs/>
                <w:sz w:val="24"/>
                <w:szCs w:val="24"/>
              </w:rPr>
            </w:pPr>
          </w:p>
        </w:tc>
        <w:tc>
          <w:tcPr>
            <w:tcW w:w="680" w:type="pct"/>
            <w:tcBorders>
              <w:bottom w:val="single" w:sz="4" w:space="0" w:color="auto"/>
            </w:tcBorders>
          </w:tcPr>
          <w:p w:rsidR="00071D62" w:rsidRPr="00995156" w:rsidRDefault="00071D62" w:rsidP="00995156">
            <w:pPr>
              <w:jc w:val="right"/>
              <w:rPr>
                <w:rFonts w:ascii="Arial" w:hAnsi="Arial" w:cs="Arial"/>
                <w:sz w:val="24"/>
                <w:szCs w:val="24"/>
              </w:rPr>
            </w:pPr>
            <w:r w:rsidRPr="00995156">
              <w:rPr>
                <w:rFonts w:ascii="Arial" w:hAnsi="Arial" w:cs="Arial"/>
                <w:sz w:val="24"/>
                <w:szCs w:val="24"/>
              </w:rPr>
              <w:t>2010/11</w:t>
            </w:r>
          </w:p>
        </w:tc>
        <w:tc>
          <w:tcPr>
            <w:tcW w:w="755" w:type="pct"/>
            <w:tcBorders>
              <w:bottom w:val="single" w:sz="4" w:space="0" w:color="auto"/>
            </w:tcBorders>
          </w:tcPr>
          <w:p w:rsidR="00071D62" w:rsidRPr="00995156" w:rsidRDefault="00071D62" w:rsidP="00995156">
            <w:pPr>
              <w:jc w:val="right"/>
              <w:rPr>
                <w:rFonts w:ascii="Arial" w:hAnsi="Arial" w:cs="Arial"/>
                <w:sz w:val="24"/>
                <w:szCs w:val="24"/>
              </w:rPr>
            </w:pPr>
            <w:r w:rsidRPr="00995156">
              <w:rPr>
                <w:rFonts w:ascii="Arial" w:hAnsi="Arial" w:cs="Arial"/>
                <w:sz w:val="24"/>
                <w:szCs w:val="24"/>
              </w:rPr>
              <w:t xml:space="preserve">Increase </w:t>
            </w:r>
          </w:p>
        </w:tc>
      </w:tr>
      <w:tr w:rsidR="00071D62" w:rsidRPr="00995156">
        <w:trPr>
          <w:trHeight w:val="80"/>
        </w:trPr>
        <w:tc>
          <w:tcPr>
            <w:tcW w:w="2945" w:type="pct"/>
            <w:tcBorders>
              <w:top w:val="single" w:sz="4" w:space="0" w:color="auto"/>
            </w:tcBorders>
          </w:tcPr>
          <w:p w:rsidR="00071D62" w:rsidRPr="00995156" w:rsidRDefault="00071D62" w:rsidP="004948B3">
            <w:pPr>
              <w:rPr>
                <w:rFonts w:ascii="Arial" w:hAnsi="Arial" w:cs="Arial"/>
                <w:sz w:val="2"/>
                <w:szCs w:val="2"/>
              </w:rPr>
            </w:pPr>
          </w:p>
        </w:tc>
        <w:tc>
          <w:tcPr>
            <w:tcW w:w="619" w:type="pct"/>
            <w:tcBorders>
              <w:top w:val="single" w:sz="4" w:space="0" w:color="auto"/>
            </w:tcBorders>
          </w:tcPr>
          <w:p w:rsidR="00071D62" w:rsidRPr="00995156" w:rsidRDefault="00071D62" w:rsidP="00995156">
            <w:pPr>
              <w:jc w:val="right"/>
              <w:rPr>
                <w:rFonts w:ascii="Arial" w:hAnsi="Arial" w:cs="Arial"/>
                <w:b/>
                <w:bCs/>
                <w:sz w:val="2"/>
                <w:szCs w:val="2"/>
              </w:rPr>
            </w:pPr>
          </w:p>
        </w:tc>
        <w:tc>
          <w:tcPr>
            <w:tcW w:w="680" w:type="pct"/>
            <w:tcBorders>
              <w:top w:val="single" w:sz="4" w:space="0" w:color="auto"/>
            </w:tcBorders>
          </w:tcPr>
          <w:p w:rsidR="00071D62" w:rsidRPr="00995156" w:rsidRDefault="00071D62" w:rsidP="00995156">
            <w:pPr>
              <w:jc w:val="right"/>
              <w:rPr>
                <w:rFonts w:ascii="Arial" w:hAnsi="Arial" w:cs="Arial"/>
                <w:sz w:val="2"/>
                <w:szCs w:val="2"/>
              </w:rPr>
            </w:pPr>
          </w:p>
        </w:tc>
        <w:tc>
          <w:tcPr>
            <w:tcW w:w="755" w:type="pct"/>
            <w:tcBorders>
              <w:top w:val="single" w:sz="4" w:space="0" w:color="auto"/>
            </w:tcBorders>
          </w:tcPr>
          <w:p w:rsidR="00071D62" w:rsidRPr="00995156" w:rsidRDefault="00071D62" w:rsidP="00995156">
            <w:pPr>
              <w:jc w:val="right"/>
              <w:rPr>
                <w:rFonts w:ascii="Arial" w:hAnsi="Arial" w:cs="Arial"/>
                <w:sz w:val="2"/>
                <w:szCs w:val="2"/>
              </w:rPr>
            </w:pPr>
          </w:p>
        </w:tc>
      </w:tr>
      <w:tr w:rsidR="00071D62" w:rsidRPr="00995156">
        <w:tc>
          <w:tcPr>
            <w:tcW w:w="2945" w:type="pct"/>
          </w:tcPr>
          <w:p w:rsidR="00071D62" w:rsidRPr="00995156" w:rsidRDefault="00071D62" w:rsidP="004948B3">
            <w:pPr>
              <w:rPr>
                <w:rFonts w:ascii="Arial" w:hAnsi="Arial" w:cs="Arial"/>
                <w:sz w:val="24"/>
                <w:szCs w:val="24"/>
              </w:rPr>
            </w:pPr>
            <w:r w:rsidRPr="00995156">
              <w:rPr>
                <w:rFonts w:ascii="Arial" w:hAnsi="Arial" w:cs="Arial"/>
                <w:sz w:val="24"/>
                <w:szCs w:val="24"/>
              </w:rPr>
              <w:t>Profit after tax</w:t>
            </w:r>
          </w:p>
        </w:tc>
        <w:tc>
          <w:tcPr>
            <w:tcW w:w="619" w:type="pct"/>
          </w:tcPr>
          <w:p w:rsidR="00071D62" w:rsidRPr="00995156" w:rsidRDefault="00071D62" w:rsidP="00995156">
            <w:pPr>
              <w:jc w:val="right"/>
              <w:rPr>
                <w:rFonts w:ascii="Arial" w:hAnsi="Arial" w:cs="Arial"/>
                <w:b/>
                <w:bCs/>
                <w:sz w:val="24"/>
                <w:szCs w:val="24"/>
              </w:rPr>
            </w:pPr>
            <w:r w:rsidRPr="00995156">
              <w:rPr>
                <w:rFonts w:ascii="Arial" w:hAnsi="Arial" w:cs="Arial"/>
                <w:b/>
                <w:bCs/>
                <w:sz w:val="24"/>
                <w:szCs w:val="24"/>
              </w:rPr>
              <w:t>£320m</w:t>
            </w:r>
          </w:p>
        </w:tc>
        <w:tc>
          <w:tcPr>
            <w:tcW w:w="680" w:type="pct"/>
          </w:tcPr>
          <w:p w:rsidR="00071D62" w:rsidRPr="00995156" w:rsidRDefault="00071D62" w:rsidP="00995156">
            <w:pPr>
              <w:jc w:val="right"/>
              <w:rPr>
                <w:rFonts w:ascii="Arial" w:hAnsi="Arial" w:cs="Arial"/>
                <w:sz w:val="24"/>
                <w:szCs w:val="24"/>
              </w:rPr>
            </w:pPr>
            <w:r w:rsidRPr="00995156">
              <w:rPr>
                <w:rFonts w:ascii="Arial" w:hAnsi="Arial" w:cs="Arial"/>
                <w:sz w:val="24"/>
                <w:szCs w:val="24"/>
              </w:rPr>
              <w:t>£248m</w:t>
            </w:r>
          </w:p>
        </w:tc>
        <w:tc>
          <w:tcPr>
            <w:tcW w:w="755" w:type="pct"/>
          </w:tcPr>
          <w:p w:rsidR="00071D62" w:rsidRPr="00995156" w:rsidRDefault="00071D62" w:rsidP="00995156">
            <w:pPr>
              <w:jc w:val="right"/>
              <w:rPr>
                <w:rFonts w:ascii="Arial" w:hAnsi="Arial" w:cs="Arial"/>
                <w:sz w:val="24"/>
                <w:szCs w:val="24"/>
              </w:rPr>
            </w:pPr>
            <w:r w:rsidRPr="00995156">
              <w:rPr>
                <w:rFonts w:ascii="Arial" w:hAnsi="Arial" w:cs="Arial"/>
                <w:sz w:val="24"/>
                <w:szCs w:val="24"/>
              </w:rPr>
              <w:t>29.0%</w:t>
            </w:r>
          </w:p>
        </w:tc>
      </w:tr>
      <w:tr w:rsidR="00071D62" w:rsidRPr="00995156">
        <w:trPr>
          <w:trHeight w:hRule="exact" w:val="85"/>
        </w:trPr>
        <w:tc>
          <w:tcPr>
            <w:tcW w:w="2945" w:type="pct"/>
          </w:tcPr>
          <w:p w:rsidR="00071D62" w:rsidRPr="00995156" w:rsidRDefault="00071D62" w:rsidP="004948B3">
            <w:pPr>
              <w:rPr>
                <w:rFonts w:ascii="Arial" w:hAnsi="Arial" w:cs="Arial"/>
                <w:sz w:val="24"/>
                <w:szCs w:val="24"/>
              </w:rPr>
            </w:pPr>
          </w:p>
        </w:tc>
        <w:tc>
          <w:tcPr>
            <w:tcW w:w="619" w:type="pct"/>
          </w:tcPr>
          <w:p w:rsidR="00071D62" w:rsidRPr="00995156" w:rsidRDefault="00071D62" w:rsidP="00995156">
            <w:pPr>
              <w:jc w:val="right"/>
              <w:rPr>
                <w:rFonts w:ascii="Arial" w:hAnsi="Arial" w:cs="Arial"/>
                <w:b/>
                <w:bCs/>
                <w:sz w:val="24"/>
                <w:szCs w:val="24"/>
              </w:rPr>
            </w:pPr>
          </w:p>
        </w:tc>
        <w:tc>
          <w:tcPr>
            <w:tcW w:w="680" w:type="pct"/>
          </w:tcPr>
          <w:p w:rsidR="00071D62" w:rsidRPr="00995156" w:rsidRDefault="00071D62" w:rsidP="00995156">
            <w:pPr>
              <w:jc w:val="right"/>
              <w:rPr>
                <w:rFonts w:ascii="Arial" w:hAnsi="Arial" w:cs="Arial"/>
                <w:sz w:val="24"/>
                <w:szCs w:val="24"/>
              </w:rPr>
            </w:pPr>
          </w:p>
        </w:tc>
        <w:tc>
          <w:tcPr>
            <w:tcW w:w="755" w:type="pct"/>
          </w:tcPr>
          <w:p w:rsidR="00071D62" w:rsidRPr="00995156" w:rsidRDefault="00071D62" w:rsidP="00995156">
            <w:pPr>
              <w:jc w:val="right"/>
              <w:rPr>
                <w:rFonts w:ascii="Arial" w:hAnsi="Arial" w:cs="Arial"/>
                <w:sz w:val="24"/>
                <w:szCs w:val="24"/>
              </w:rPr>
            </w:pPr>
          </w:p>
        </w:tc>
      </w:tr>
      <w:tr w:rsidR="00071D62" w:rsidRPr="00995156">
        <w:tc>
          <w:tcPr>
            <w:tcW w:w="2945" w:type="pct"/>
            <w:tcBorders>
              <w:bottom w:val="single" w:sz="4" w:space="0" w:color="auto"/>
            </w:tcBorders>
          </w:tcPr>
          <w:p w:rsidR="00071D62" w:rsidRPr="00995156" w:rsidRDefault="00071D62" w:rsidP="004948B3">
            <w:pPr>
              <w:rPr>
                <w:rFonts w:ascii="Arial" w:hAnsi="Arial" w:cs="Arial"/>
                <w:sz w:val="24"/>
                <w:szCs w:val="24"/>
              </w:rPr>
            </w:pPr>
            <w:r w:rsidRPr="00995156">
              <w:rPr>
                <w:rFonts w:ascii="Arial" w:hAnsi="Arial" w:cs="Arial"/>
                <w:sz w:val="24"/>
                <w:szCs w:val="24"/>
              </w:rPr>
              <w:t xml:space="preserve">Basic EPS </w:t>
            </w:r>
          </w:p>
        </w:tc>
        <w:tc>
          <w:tcPr>
            <w:tcW w:w="619" w:type="pct"/>
            <w:tcBorders>
              <w:bottom w:val="single" w:sz="4" w:space="0" w:color="auto"/>
            </w:tcBorders>
          </w:tcPr>
          <w:p w:rsidR="00071D62" w:rsidRPr="00995156" w:rsidRDefault="00071D62" w:rsidP="00995156">
            <w:pPr>
              <w:jc w:val="right"/>
              <w:rPr>
                <w:rFonts w:ascii="Arial" w:hAnsi="Arial" w:cs="Arial"/>
                <w:b/>
                <w:bCs/>
                <w:sz w:val="24"/>
                <w:szCs w:val="24"/>
              </w:rPr>
            </w:pPr>
            <w:r w:rsidRPr="00995156">
              <w:rPr>
                <w:rFonts w:ascii="Arial" w:hAnsi="Arial" w:cs="Arial"/>
                <w:b/>
                <w:bCs/>
                <w:sz w:val="24"/>
                <w:szCs w:val="24"/>
              </w:rPr>
              <w:t>13.7p</w:t>
            </w:r>
          </w:p>
        </w:tc>
        <w:tc>
          <w:tcPr>
            <w:tcW w:w="680" w:type="pct"/>
            <w:tcBorders>
              <w:bottom w:val="single" w:sz="4" w:space="0" w:color="auto"/>
            </w:tcBorders>
          </w:tcPr>
          <w:p w:rsidR="00071D62" w:rsidRPr="00995156" w:rsidRDefault="00071D62" w:rsidP="00995156">
            <w:pPr>
              <w:jc w:val="right"/>
              <w:rPr>
                <w:rFonts w:ascii="Arial" w:hAnsi="Arial" w:cs="Arial"/>
                <w:sz w:val="24"/>
                <w:szCs w:val="24"/>
              </w:rPr>
            </w:pPr>
            <w:r w:rsidRPr="00995156">
              <w:rPr>
                <w:rFonts w:ascii="Arial" w:hAnsi="Arial" w:cs="Arial"/>
                <w:sz w:val="24"/>
                <w:szCs w:val="24"/>
              </w:rPr>
              <w:t>10.6p</w:t>
            </w:r>
          </w:p>
        </w:tc>
        <w:tc>
          <w:tcPr>
            <w:tcW w:w="755" w:type="pct"/>
            <w:tcBorders>
              <w:bottom w:val="single" w:sz="4" w:space="0" w:color="auto"/>
            </w:tcBorders>
          </w:tcPr>
          <w:p w:rsidR="00071D62" w:rsidRPr="00995156" w:rsidRDefault="00071D62" w:rsidP="00995156">
            <w:pPr>
              <w:jc w:val="right"/>
              <w:rPr>
                <w:rFonts w:ascii="Arial" w:hAnsi="Arial" w:cs="Arial"/>
                <w:sz w:val="24"/>
                <w:szCs w:val="24"/>
              </w:rPr>
            </w:pPr>
            <w:r w:rsidRPr="00995156">
              <w:rPr>
                <w:rFonts w:ascii="Arial" w:hAnsi="Arial" w:cs="Arial"/>
                <w:sz w:val="24"/>
                <w:szCs w:val="24"/>
              </w:rPr>
              <w:t>29.2%</w:t>
            </w:r>
          </w:p>
        </w:tc>
      </w:tr>
    </w:tbl>
    <w:p w:rsidR="00071D62" w:rsidRDefault="00071D62" w:rsidP="00995156">
      <w:pPr>
        <w:jc w:val="left"/>
        <w:rPr>
          <w:rFonts w:ascii="Arial" w:hAnsi="Arial" w:cs="Arial"/>
          <w:b/>
          <w:bCs/>
          <w:sz w:val="24"/>
          <w:szCs w:val="24"/>
        </w:rPr>
      </w:pPr>
    </w:p>
    <w:p w:rsidR="00071D62" w:rsidRDefault="00071D62" w:rsidP="00995156">
      <w:pPr>
        <w:jc w:val="left"/>
        <w:rPr>
          <w:rFonts w:ascii="Arial" w:hAnsi="Arial" w:cs="Arial"/>
          <w:b/>
          <w:bCs/>
          <w:sz w:val="24"/>
          <w:szCs w:val="24"/>
        </w:rPr>
      </w:pPr>
      <w:r>
        <w:rPr>
          <w:rFonts w:ascii="Arial" w:hAnsi="Arial" w:cs="Arial"/>
          <w:b/>
          <w:bCs/>
          <w:sz w:val="24"/>
          <w:szCs w:val="24"/>
        </w:rPr>
        <w:t xml:space="preserve">Overview </w:t>
      </w:r>
    </w:p>
    <w:p w:rsidR="00071D62" w:rsidRDefault="00071D62" w:rsidP="00995156">
      <w:pPr>
        <w:ind w:right="-368"/>
        <w:jc w:val="left"/>
        <w:rPr>
          <w:rFonts w:ascii="Arial" w:hAnsi="Arial" w:cs="Arial"/>
          <w:sz w:val="24"/>
          <w:szCs w:val="24"/>
        </w:rPr>
      </w:pPr>
      <w:r w:rsidRPr="008E65C2">
        <w:rPr>
          <w:rFonts w:ascii="Arial" w:hAnsi="Arial" w:cs="Arial"/>
          <w:sz w:val="24"/>
          <w:szCs w:val="24"/>
        </w:rPr>
        <w:t>Total</w:t>
      </w:r>
      <w:r w:rsidRPr="008E65C2">
        <w:rPr>
          <w:rFonts w:ascii="Arial" w:hAnsi="Arial" w:cs="Arial"/>
          <w:b/>
          <w:bCs/>
          <w:sz w:val="24"/>
          <w:szCs w:val="24"/>
        </w:rPr>
        <w:t xml:space="preserve"> sales</w:t>
      </w:r>
      <w:r w:rsidRPr="008E65C2">
        <w:rPr>
          <w:rFonts w:ascii="Arial" w:hAnsi="Arial" w:cs="Arial"/>
          <w:sz w:val="24"/>
          <w:szCs w:val="24"/>
        </w:rPr>
        <w:t xml:space="preserve"> </w:t>
      </w:r>
      <w:r>
        <w:rPr>
          <w:rFonts w:ascii="Arial" w:hAnsi="Arial" w:cs="Arial"/>
          <w:sz w:val="24"/>
          <w:szCs w:val="24"/>
        </w:rPr>
        <w:t xml:space="preserve">grew by </w:t>
      </w:r>
      <w:r w:rsidRPr="008E65C2">
        <w:rPr>
          <w:rFonts w:ascii="Arial" w:hAnsi="Arial" w:cs="Arial"/>
          <w:sz w:val="24"/>
          <w:szCs w:val="24"/>
        </w:rPr>
        <w:t>3.0% on a constant currency basis</w:t>
      </w:r>
      <w:r>
        <w:rPr>
          <w:rFonts w:ascii="Arial" w:hAnsi="Arial" w:cs="Arial"/>
          <w:sz w:val="24"/>
          <w:szCs w:val="24"/>
        </w:rPr>
        <w:t xml:space="preserve"> and 3.</w:t>
      </w:r>
      <w:r w:rsidRPr="008E65C2">
        <w:rPr>
          <w:rFonts w:ascii="Arial" w:hAnsi="Arial" w:cs="Arial"/>
          <w:sz w:val="24"/>
          <w:szCs w:val="24"/>
        </w:rPr>
        <w:t xml:space="preserve">8% to £5.7 billion </w:t>
      </w:r>
      <w:r>
        <w:rPr>
          <w:rFonts w:ascii="Arial" w:hAnsi="Arial" w:cs="Arial"/>
          <w:sz w:val="24"/>
          <w:szCs w:val="24"/>
        </w:rPr>
        <w:t xml:space="preserve">on a reported rate basis. </w:t>
      </w:r>
      <w:r w:rsidRPr="008E65C2">
        <w:rPr>
          <w:rFonts w:ascii="Arial" w:hAnsi="Arial" w:cs="Arial"/>
          <w:sz w:val="24"/>
          <w:szCs w:val="24"/>
        </w:rPr>
        <w:t xml:space="preserve">On a like-for-like basis, Group sales were up 1.6% (2010/11: </w:t>
      </w:r>
      <w:r>
        <w:rPr>
          <w:rFonts w:ascii="Arial" w:hAnsi="Arial" w:cs="Arial"/>
          <w:sz w:val="24"/>
          <w:szCs w:val="24"/>
        </w:rPr>
        <w:t xml:space="preserve">down </w:t>
      </w:r>
      <w:r w:rsidRPr="008E65C2">
        <w:rPr>
          <w:rFonts w:ascii="Arial" w:hAnsi="Arial" w:cs="Arial"/>
          <w:sz w:val="24"/>
          <w:szCs w:val="24"/>
        </w:rPr>
        <w:t>1.3%).</w:t>
      </w:r>
      <w:r w:rsidRPr="00384DD9">
        <w:rPr>
          <w:rFonts w:ascii="Arial" w:hAnsi="Arial" w:cs="Arial"/>
          <w:sz w:val="24"/>
          <w:szCs w:val="24"/>
        </w:rPr>
        <w:t xml:space="preserve"> </w:t>
      </w:r>
      <w:r w:rsidRPr="008E65C2">
        <w:rPr>
          <w:rFonts w:ascii="Arial" w:hAnsi="Arial" w:cs="Arial"/>
          <w:sz w:val="24"/>
          <w:szCs w:val="24"/>
        </w:rPr>
        <w:t xml:space="preserve">During the </w:t>
      </w:r>
      <w:r>
        <w:rPr>
          <w:rFonts w:ascii="Arial" w:hAnsi="Arial" w:cs="Arial"/>
          <w:sz w:val="24"/>
          <w:szCs w:val="24"/>
        </w:rPr>
        <w:t>period</w:t>
      </w:r>
      <w:r w:rsidRPr="008E65C2">
        <w:rPr>
          <w:rFonts w:ascii="Arial" w:hAnsi="Arial" w:cs="Arial"/>
          <w:sz w:val="24"/>
          <w:szCs w:val="24"/>
        </w:rPr>
        <w:t>, a</w:t>
      </w:r>
      <w:r>
        <w:rPr>
          <w:rFonts w:ascii="Arial" w:hAnsi="Arial" w:cs="Arial"/>
          <w:sz w:val="24"/>
          <w:szCs w:val="24"/>
        </w:rPr>
        <w:t xml:space="preserve"> net</w:t>
      </w:r>
      <w:r w:rsidRPr="008E65C2">
        <w:rPr>
          <w:rFonts w:ascii="Arial" w:hAnsi="Arial" w:cs="Arial"/>
          <w:sz w:val="24"/>
          <w:szCs w:val="24"/>
        </w:rPr>
        <w:t xml:space="preserve"> additional 17 new stores were opened taking the store network to 843 stores (excluding 32 Turkey JV stores). </w:t>
      </w:r>
      <w:r>
        <w:rPr>
          <w:rFonts w:ascii="Arial" w:hAnsi="Arial" w:cs="Arial"/>
          <w:sz w:val="24"/>
          <w:szCs w:val="24"/>
        </w:rPr>
        <w:t>During H1 we received clearance for B&amp;Q UK to acquire 29 stores from Focus DIY, with 28 opening due to open in H2.</w:t>
      </w:r>
    </w:p>
    <w:p w:rsidR="00071D62" w:rsidRDefault="00071D62" w:rsidP="00995156">
      <w:pPr>
        <w:ind w:right="-368"/>
        <w:jc w:val="left"/>
        <w:rPr>
          <w:rFonts w:ascii="Arial" w:hAnsi="Arial" w:cs="Arial"/>
          <w:sz w:val="24"/>
          <w:szCs w:val="24"/>
        </w:rPr>
      </w:pPr>
    </w:p>
    <w:p w:rsidR="00071D62" w:rsidRDefault="00071D62" w:rsidP="00995156">
      <w:pPr>
        <w:ind w:right="-368"/>
        <w:jc w:val="left"/>
        <w:rPr>
          <w:rFonts w:ascii="Arial" w:hAnsi="Arial" w:cs="Arial"/>
          <w:sz w:val="24"/>
          <w:szCs w:val="24"/>
        </w:rPr>
      </w:pPr>
      <w:r w:rsidRPr="008E65C2">
        <w:rPr>
          <w:rFonts w:ascii="Arial" w:hAnsi="Arial" w:cs="Arial"/>
          <w:b/>
          <w:bCs/>
          <w:sz w:val="24"/>
          <w:szCs w:val="24"/>
        </w:rPr>
        <w:t>Retail profit</w:t>
      </w:r>
      <w:r w:rsidRPr="00EF013D">
        <w:rPr>
          <w:rFonts w:ascii="Arial" w:hAnsi="Arial" w:cs="Arial"/>
          <w:sz w:val="24"/>
          <w:szCs w:val="24"/>
        </w:rPr>
        <w:t xml:space="preserve"> </w:t>
      </w:r>
      <w:r>
        <w:rPr>
          <w:rFonts w:ascii="Arial" w:hAnsi="Arial" w:cs="Arial"/>
          <w:sz w:val="24"/>
          <w:szCs w:val="24"/>
        </w:rPr>
        <w:t xml:space="preserve">before exceptional items </w:t>
      </w:r>
      <w:r w:rsidRPr="00EF013D">
        <w:rPr>
          <w:rFonts w:ascii="Arial" w:hAnsi="Arial" w:cs="Arial"/>
          <w:sz w:val="24"/>
          <w:szCs w:val="24"/>
        </w:rPr>
        <w:t xml:space="preserve">grew </w:t>
      </w:r>
      <w:r>
        <w:rPr>
          <w:rFonts w:ascii="Arial" w:hAnsi="Arial" w:cs="Arial"/>
          <w:sz w:val="24"/>
          <w:szCs w:val="24"/>
        </w:rPr>
        <w:t>by 17.6% to £473 million (2010/11: £402 million), and by 19.7% to £473 million (2010/11: £395 million) including exceptional items.</w:t>
      </w:r>
    </w:p>
    <w:p w:rsidR="00071D62" w:rsidRDefault="00071D62" w:rsidP="00995156">
      <w:pPr>
        <w:ind w:right="-368"/>
        <w:jc w:val="left"/>
        <w:rPr>
          <w:rFonts w:ascii="Arial" w:hAnsi="Arial" w:cs="Arial"/>
          <w:sz w:val="24"/>
          <w:szCs w:val="24"/>
        </w:rPr>
      </w:pPr>
    </w:p>
    <w:p w:rsidR="00071D62" w:rsidRDefault="00071D62" w:rsidP="00995156">
      <w:pPr>
        <w:jc w:val="left"/>
        <w:rPr>
          <w:rFonts w:ascii="Arial" w:hAnsi="Arial" w:cs="Arial"/>
          <w:sz w:val="24"/>
          <w:szCs w:val="24"/>
        </w:rPr>
      </w:pPr>
      <w:r w:rsidRPr="00E530B3">
        <w:rPr>
          <w:rFonts w:ascii="Arial" w:hAnsi="Arial" w:cs="Arial"/>
          <w:sz w:val="24"/>
          <w:szCs w:val="24"/>
        </w:rPr>
        <w:t xml:space="preserve">The net </w:t>
      </w:r>
      <w:r w:rsidRPr="00BA3E49">
        <w:rPr>
          <w:rFonts w:ascii="Arial" w:hAnsi="Arial" w:cs="Arial"/>
          <w:b/>
          <w:bCs/>
          <w:sz w:val="24"/>
          <w:szCs w:val="24"/>
        </w:rPr>
        <w:t>interest</w:t>
      </w:r>
      <w:r w:rsidRPr="00E530B3">
        <w:rPr>
          <w:rFonts w:ascii="Arial" w:hAnsi="Arial" w:cs="Arial"/>
          <w:sz w:val="24"/>
          <w:szCs w:val="24"/>
        </w:rPr>
        <w:t xml:space="preserve"> charge for the </w:t>
      </w:r>
      <w:r>
        <w:rPr>
          <w:rFonts w:ascii="Arial" w:hAnsi="Arial" w:cs="Arial"/>
          <w:sz w:val="24"/>
          <w:szCs w:val="24"/>
        </w:rPr>
        <w:t>six months was £5 million, down £11 million on the prior period. A breakdown of this is shown below.</w:t>
      </w:r>
    </w:p>
    <w:p w:rsidR="00071D62" w:rsidRDefault="00071D62" w:rsidP="00995156">
      <w:pPr>
        <w:ind w:right="-368"/>
        <w:jc w:val="left"/>
        <w:rPr>
          <w:rFonts w:ascii="Arial" w:hAnsi="Arial" w:cs="Arial"/>
          <w:sz w:val="24"/>
          <w:szCs w:val="24"/>
        </w:rPr>
      </w:pPr>
      <w:r w:rsidRPr="00D45E05">
        <w:rPr>
          <w:rFonts w:ascii="Arial" w:hAnsi="Arial" w:cs="Arial"/>
          <w:b/>
          <w:bCs/>
          <w:sz w:val="24"/>
          <w:szCs w:val="24"/>
        </w:rPr>
        <w:lastRenderedPageBreak/>
        <w:t>Profit before tax</w:t>
      </w:r>
      <w:r>
        <w:rPr>
          <w:rFonts w:ascii="Arial" w:hAnsi="Arial" w:cs="Arial"/>
          <w:b/>
          <w:bCs/>
          <w:sz w:val="24"/>
          <w:szCs w:val="24"/>
        </w:rPr>
        <w:t xml:space="preserve"> </w:t>
      </w:r>
      <w:r>
        <w:rPr>
          <w:rFonts w:ascii="Arial" w:hAnsi="Arial" w:cs="Arial"/>
          <w:sz w:val="24"/>
          <w:szCs w:val="24"/>
        </w:rPr>
        <w:t xml:space="preserve">grew by 24.8% to £438 million as a result of improved trading in the period and a reduction of net finance costs. </w:t>
      </w:r>
      <w:r w:rsidRPr="00D45E05">
        <w:rPr>
          <w:rFonts w:ascii="Arial" w:hAnsi="Arial" w:cs="Arial"/>
          <w:sz w:val="24"/>
          <w:szCs w:val="24"/>
        </w:rPr>
        <w:t xml:space="preserve">On a more comparable basis, which removes the impact of one-off items and fair value remeasurements, </w:t>
      </w:r>
      <w:r w:rsidRPr="00D45E05">
        <w:rPr>
          <w:rFonts w:ascii="Arial" w:hAnsi="Arial" w:cs="Arial"/>
          <w:b/>
          <w:bCs/>
          <w:sz w:val="24"/>
          <w:szCs w:val="24"/>
        </w:rPr>
        <w:t>adjusted pre-tax profit</w:t>
      </w:r>
      <w:r w:rsidRPr="00D45E05">
        <w:rPr>
          <w:rFonts w:ascii="Arial" w:hAnsi="Arial" w:cs="Arial"/>
          <w:sz w:val="24"/>
          <w:szCs w:val="24"/>
        </w:rPr>
        <w:t xml:space="preserve"> grew by 24% to £439 million.</w:t>
      </w:r>
    </w:p>
    <w:p w:rsidR="00071D62" w:rsidRPr="00D45E05" w:rsidRDefault="00071D62" w:rsidP="00995156">
      <w:pPr>
        <w:ind w:right="-368"/>
        <w:jc w:val="left"/>
        <w:rPr>
          <w:rFonts w:ascii="Arial" w:hAnsi="Arial" w:cs="Arial"/>
          <w:sz w:val="24"/>
          <w:szCs w:val="24"/>
        </w:rPr>
      </w:pPr>
    </w:p>
    <w:p w:rsidR="00071D62" w:rsidRPr="00FB458E" w:rsidRDefault="00071D62" w:rsidP="00995156">
      <w:pPr>
        <w:ind w:right="-368"/>
        <w:jc w:val="left"/>
        <w:rPr>
          <w:rFonts w:ascii="Arial" w:hAnsi="Arial" w:cs="Arial"/>
          <w:b/>
          <w:bCs/>
          <w:sz w:val="24"/>
          <w:szCs w:val="24"/>
        </w:rPr>
      </w:pPr>
      <w:r w:rsidRPr="00FB458E">
        <w:rPr>
          <w:rFonts w:ascii="Arial" w:hAnsi="Arial" w:cs="Arial"/>
          <w:b/>
          <w:bCs/>
          <w:sz w:val="24"/>
          <w:szCs w:val="24"/>
        </w:rPr>
        <w:t xml:space="preserve">Profit </w:t>
      </w:r>
      <w:r>
        <w:rPr>
          <w:rFonts w:ascii="Arial" w:hAnsi="Arial" w:cs="Arial"/>
          <w:b/>
          <w:bCs/>
          <w:sz w:val="24"/>
          <w:szCs w:val="24"/>
        </w:rPr>
        <w:t xml:space="preserve">after tax </w:t>
      </w:r>
      <w:r w:rsidRPr="0096164C">
        <w:rPr>
          <w:rFonts w:ascii="Arial" w:hAnsi="Arial" w:cs="Arial"/>
          <w:sz w:val="24"/>
          <w:szCs w:val="24"/>
        </w:rPr>
        <w:t>for the period</w:t>
      </w:r>
      <w:r w:rsidRPr="00FB458E">
        <w:rPr>
          <w:rFonts w:ascii="Arial" w:hAnsi="Arial" w:cs="Arial"/>
          <w:b/>
          <w:bCs/>
          <w:sz w:val="24"/>
          <w:szCs w:val="24"/>
        </w:rPr>
        <w:t xml:space="preserve"> </w:t>
      </w:r>
      <w:r>
        <w:rPr>
          <w:rFonts w:ascii="Arial" w:hAnsi="Arial" w:cs="Arial"/>
          <w:sz w:val="24"/>
          <w:szCs w:val="24"/>
        </w:rPr>
        <w:t xml:space="preserve">grew by 29% to </w:t>
      </w:r>
      <w:r w:rsidRPr="008E65C2">
        <w:rPr>
          <w:rFonts w:ascii="Arial" w:hAnsi="Arial" w:cs="Arial"/>
          <w:sz w:val="24"/>
          <w:szCs w:val="24"/>
        </w:rPr>
        <w:t>£320 million</w:t>
      </w:r>
      <w:r>
        <w:rPr>
          <w:rFonts w:ascii="Arial" w:hAnsi="Arial" w:cs="Arial"/>
          <w:sz w:val="24"/>
          <w:szCs w:val="24"/>
        </w:rPr>
        <w:t xml:space="preserve">. </w:t>
      </w:r>
      <w:r w:rsidRPr="00284592">
        <w:rPr>
          <w:rFonts w:ascii="Arial" w:hAnsi="Arial" w:cs="Arial"/>
          <w:sz w:val="24"/>
          <w:szCs w:val="24"/>
        </w:rPr>
        <w:t xml:space="preserve">This resulted in the Group recording a </w:t>
      </w:r>
      <w:r w:rsidRPr="00284592">
        <w:rPr>
          <w:rFonts w:ascii="Arial" w:hAnsi="Arial" w:cs="Arial"/>
          <w:b/>
          <w:bCs/>
          <w:sz w:val="24"/>
          <w:szCs w:val="24"/>
        </w:rPr>
        <w:t>basic EPS</w:t>
      </w:r>
      <w:r w:rsidRPr="00284592">
        <w:rPr>
          <w:rFonts w:ascii="Arial" w:hAnsi="Arial" w:cs="Arial"/>
          <w:sz w:val="24"/>
          <w:szCs w:val="24"/>
        </w:rPr>
        <w:t xml:space="preserve"> of </w:t>
      </w:r>
      <w:r>
        <w:rPr>
          <w:rFonts w:ascii="Arial" w:hAnsi="Arial" w:cs="Arial"/>
          <w:sz w:val="24"/>
          <w:szCs w:val="24"/>
        </w:rPr>
        <w:t>13.7</w:t>
      </w:r>
      <w:r w:rsidRPr="00284592">
        <w:rPr>
          <w:rFonts w:ascii="Arial" w:hAnsi="Arial" w:cs="Arial"/>
          <w:sz w:val="24"/>
          <w:szCs w:val="24"/>
        </w:rPr>
        <w:t xml:space="preserve">p which is up </w:t>
      </w:r>
      <w:r>
        <w:rPr>
          <w:rFonts w:ascii="Arial" w:hAnsi="Arial" w:cs="Arial"/>
          <w:sz w:val="24"/>
          <w:szCs w:val="24"/>
        </w:rPr>
        <w:t>3.1p</w:t>
      </w:r>
      <w:r w:rsidRPr="00284592">
        <w:rPr>
          <w:rFonts w:ascii="Arial" w:hAnsi="Arial" w:cs="Arial"/>
          <w:sz w:val="24"/>
          <w:szCs w:val="24"/>
        </w:rPr>
        <w:t xml:space="preserve"> (</w:t>
      </w:r>
      <w:r>
        <w:rPr>
          <w:rFonts w:ascii="Arial" w:hAnsi="Arial" w:cs="Arial"/>
          <w:sz w:val="24"/>
          <w:szCs w:val="24"/>
        </w:rPr>
        <w:t>+29.2</w:t>
      </w:r>
      <w:r w:rsidRPr="00284592">
        <w:rPr>
          <w:rFonts w:ascii="Arial" w:hAnsi="Arial" w:cs="Arial"/>
          <w:sz w:val="24"/>
          <w:szCs w:val="24"/>
        </w:rPr>
        <w:t xml:space="preserve">%) in the </w:t>
      </w:r>
      <w:r>
        <w:rPr>
          <w:rFonts w:ascii="Arial" w:hAnsi="Arial" w:cs="Arial"/>
          <w:sz w:val="24"/>
          <w:szCs w:val="24"/>
        </w:rPr>
        <w:t>period.</w:t>
      </w:r>
    </w:p>
    <w:p w:rsidR="00071D62" w:rsidRPr="00D03FE0" w:rsidRDefault="00071D62" w:rsidP="00995156">
      <w:pPr>
        <w:jc w:val="left"/>
        <w:rPr>
          <w:rFonts w:ascii="Arial" w:hAnsi="Arial" w:cs="Arial"/>
          <w:b/>
          <w:bCs/>
          <w:sz w:val="24"/>
          <w:szCs w:val="24"/>
        </w:rPr>
      </w:pPr>
      <w:r w:rsidRPr="00D03FE0">
        <w:rPr>
          <w:rFonts w:ascii="Arial" w:hAnsi="Arial" w:cs="Arial"/>
          <w:b/>
          <w:bCs/>
          <w:sz w:val="24"/>
          <w:szCs w:val="24"/>
        </w:rPr>
        <w:t>Interest</w:t>
      </w:r>
    </w:p>
    <w:p w:rsidR="00071D62" w:rsidRDefault="00071D62" w:rsidP="00995156">
      <w:pPr>
        <w:jc w:val="left"/>
        <w:rPr>
          <w:rFonts w:ascii="Arial" w:hAnsi="Arial" w:cs="Arial"/>
          <w:sz w:val="24"/>
          <w:szCs w:val="24"/>
        </w:rPr>
      </w:pPr>
      <w:r>
        <w:rPr>
          <w:rFonts w:ascii="Arial" w:hAnsi="Arial" w:cs="Arial"/>
          <w:sz w:val="24"/>
          <w:szCs w:val="24"/>
        </w:rPr>
        <w:t>Net interest has decreased by £11 million in the period. The breakdown is as follows:</w:t>
      </w:r>
    </w:p>
    <w:p w:rsidR="00071D62" w:rsidRPr="00EF013D" w:rsidRDefault="00071D62" w:rsidP="00995156">
      <w:pPr>
        <w:ind w:right="-368"/>
        <w:jc w:val="left"/>
        <w:rPr>
          <w:rFonts w:ascii="Arial" w:hAnsi="Arial" w:cs="Arial"/>
          <w:sz w:val="24"/>
          <w:szCs w:val="24"/>
        </w:rPr>
      </w:pPr>
    </w:p>
    <w:tbl>
      <w:tblPr>
        <w:tblW w:w="5001" w:type="pct"/>
        <w:tblInd w:w="2" w:type="dxa"/>
        <w:tblLook w:val="0000"/>
      </w:tblPr>
      <w:tblGrid>
        <w:gridCol w:w="6948"/>
        <w:gridCol w:w="1353"/>
        <w:gridCol w:w="1558"/>
      </w:tblGrid>
      <w:tr w:rsidR="00071D62" w:rsidRPr="00525B67">
        <w:trPr>
          <w:trHeight w:val="525"/>
        </w:trPr>
        <w:tc>
          <w:tcPr>
            <w:tcW w:w="3524" w:type="pct"/>
            <w:tcBorders>
              <w:bottom w:val="single" w:sz="4" w:space="0" w:color="auto"/>
            </w:tcBorders>
            <w:vAlign w:val="bottom"/>
          </w:tcPr>
          <w:p w:rsidR="00071D62" w:rsidRPr="00525B67" w:rsidRDefault="00071D62" w:rsidP="004948B3">
            <w:pPr>
              <w:jc w:val="left"/>
              <w:rPr>
                <w:rFonts w:ascii="Arial" w:hAnsi="Arial" w:cs="Arial"/>
                <w:sz w:val="24"/>
                <w:szCs w:val="24"/>
                <w:highlight w:val="yellow"/>
              </w:rPr>
            </w:pPr>
          </w:p>
        </w:tc>
        <w:tc>
          <w:tcPr>
            <w:tcW w:w="686" w:type="pct"/>
            <w:tcBorders>
              <w:bottom w:val="single" w:sz="4" w:space="0" w:color="auto"/>
            </w:tcBorders>
            <w:vAlign w:val="bottom"/>
          </w:tcPr>
          <w:p w:rsidR="00071D62" w:rsidRPr="00EF013D" w:rsidRDefault="00071D62" w:rsidP="004948B3">
            <w:pPr>
              <w:jc w:val="right"/>
              <w:rPr>
                <w:rFonts w:ascii="Arial" w:hAnsi="Arial" w:cs="Arial"/>
                <w:b/>
                <w:bCs/>
                <w:sz w:val="24"/>
                <w:szCs w:val="24"/>
              </w:rPr>
            </w:pPr>
            <w:r w:rsidRPr="00EF013D">
              <w:rPr>
                <w:rFonts w:ascii="Arial" w:hAnsi="Arial" w:cs="Arial"/>
                <w:b/>
                <w:bCs/>
                <w:sz w:val="24"/>
                <w:szCs w:val="24"/>
              </w:rPr>
              <w:t>2011/12</w:t>
            </w:r>
          </w:p>
          <w:p w:rsidR="00071D62" w:rsidRPr="00EF013D" w:rsidRDefault="00071D62" w:rsidP="004948B3">
            <w:pPr>
              <w:jc w:val="right"/>
              <w:rPr>
                <w:rFonts w:ascii="Arial" w:hAnsi="Arial" w:cs="Arial"/>
                <w:b/>
                <w:bCs/>
                <w:sz w:val="24"/>
                <w:szCs w:val="24"/>
              </w:rPr>
            </w:pPr>
            <w:r w:rsidRPr="00EF013D">
              <w:rPr>
                <w:rFonts w:ascii="Arial" w:hAnsi="Arial" w:cs="Arial"/>
                <w:b/>
                <w:bCs/>
                <w:sz w:val="24"/>
                <w:szCs w:val="24"/>
              </w:rPr>
              <w:t>£m</w:t>
            </w:r>
          </w:p>
        </w:tc>
        <w:tc>
          <w:tcPr>
            <w:tcW w:w="790" w:type="pct"/>
            <w:tcBorders>
              <w:bottom w:val="single" w:sz="4" w:space="0" w:color="auto"/>
            </w:tcBorders>
            <w:vAlign w:val="bottom"/>
          </w:tcPr>
          <w:p w:rsidR="00071D62" w:rsidRPr="00185E72" w:rsidRDefault="00071D62" w:rsidP="004948B3">
            <w:pPr>
              <w:jc w:val="right"/>
              <w:rPr>
                <w:rFonts w:ascii="Arial" w:hAnsi="Arial" w:cs="Arial"/>
                <w:sz w:val="24"/>
                <w:szCs w:val="24"/>
              </w:rPr>
            </w:pPr>
            <w:r w:rsidRPr="00185E72">
              <w:rPr>
                <w:rFonts w:ascii="Arial" w:hAnsi="Arial" w:cs="Arial"/>
                <w:sz w:val="24"/>
                <w:szCs w:val="24"/>
              </w:rPr>
              <w:t>2010/11</w:t>
            </w:r>
          </w:p>
          <w:p w:rsidR="00071D62" w:rsidRPr="00185E72" w:rsidRDefault="00071D62" w:rsidP="004948B3">
            <w:pPr>
              <w:jc w:val="right"/>
              <w:rPr>
                <w:rFonts w:ascii="Arial" w:hAnsi="Arial" w:cs="Arial"/>
                <w:sz w:val="24"/>
                <w:szCs w:val="24"/>
              </w:rPr>
            </w:pPr>
            <w:r w:rsidRPr="00185E72">
              <w:rPr>
                <w:rFonts w:ascii="Arial" w:hAnsi="Arial" w:cs="Arial"/>
                <w:sz w:val="24"/>
                <w:szCs w:val="24"/>
              </w:rPr>
              <w:t>£m</w:t>
            </w:r>
          </w:p>
        </w:tc>
      </w:tr>
      <w:tr w:rsidR="00071D62" w:rsidRPr="00525B67">
        <w:trPr>
          <w:trHeight w:val="254"/>
        </w:trPr>
        <w:tc>
          <w:tcPr>
            <w:tcW w:w="3524" w:type="pct"/>
            <w:tcBorders>
              <w:top w:val="single" w:sz="4" w:space="0" w:color="auto"/>
            </w:tcBorders>
            <w:vAlign w:val="bottom"/>
          </w:tcPr>
          <w:p w:rsidR="00071D62" w:rsidRPr="00EF013D" w:rsidRDefault="00071D62" w:rsidP="004948B3">
            <w:pPr>
              <w:rPr>
                <w:rFonts w:ascii="Arial" w:hAnsi="Arial" w:cs="Arial"/>
                <w:b/>
                <w:bCs/>
                <w:sz w:val="24"/>
                <w:szCs w:val="24"/>
              </w:rPr>
            </w:pPr>
            <w:r w:rsidRPr="00EF013D">
              <w:rPr>
                <w:rFonts w:ascii="Arial" w:hAnsi="Arial" w:cs="Arial"/>
                <w:b/>
                <w:bCs/>
                <w:sz w:val="24"/>
                <w:szCs w:val="24"/>
              </w:rPr>
              <w:t>Cash</w:t>
            </w:r>
          </w:p>
        </w:tc>
        <w:tc>
          <w:tcPr>
            <w:tcW w:w="686" w:type="pct"/>
            <w:tcBorders>
              <w:top w:val="single" w:sz="4" w:space="0" w:color="auto"/>
            </w:tcBorders>
            <w:vAlign w:val="bottom"/>
          </w:tcPr>
          <w:p w:rsidR="00071D62" w:rsidRPr="00525B67" w:rsidRDefault="00071D62" w:rsidP="004948B3">
            <w:pPr>
              <w:jc w:val="right"/>
              <w:rPr>
                <w:rFonts w:ascii="Arial" w:hAnsi="Arial" w:cs="Arial"/>
                <w:b/>
                <w:bCs/>
                <w:sz w:val="24"/>
                <w:szCs w:val="24"/>
                <w:highlight w:val="yellow"/>
              </w:rPr>
            </w:pPr>
          </w:p>
        </w:tc>
        <w:tc>
          <w:tcPr>
            <w:tcW w:w="790" w:type="pct"/>
            <w:tcBorders>
              <w:top w:val="single" w:sz="4" w:space="0" w:color="auto"/>
            </w:tcBorders>
            <w:vAlign w:val="bottom"/>
          </w:tcPr>
          <w:p w:rsidR="00071D62" w:rsidRPr="00185E72" w:rsidRDefault="00071D62" w:rsidP="004948B3">
            <w:pPr>
              <w:jc w:val="right"/>
              <w:rPr>
                <w:rFonts w:ascii="Arial" w:hAnsi="Arial" w:cs="Arial"/>
                <w:sz w:val="24"/>
                <w:szCs w:val="24"/>
              </w:rPr>
            </w:pPr>
          </w:p>
        </w:tc>
      </w:tr>
      <w:tr w:rsidR="00071D62" w:rsidRPr="00525B67">
        <w:trPr>
          <w:trHeight w:val="254"/>
        </w:trPr>
        <w:tc>
          <w:tcPr>
            <w:tcW w:w="3524" w:type="pct"/>
            <w:vAlign w:val="bottom"/>
          </w:tcPr>
          <w:p w:rsidR="00071D62" w:rsidRPr="00EF013D" w:rsidRDefault="00071D62" w:rsidP="004948B3">
            <w:pPr>
              <w:rPr>
                <w:rFonts w:ascii="Arial" w:hAnsi="Arial" w:cs="Arial"/>
                <w:sz w:val="24"/>
                <w:szCs w:val="24"/>
              </w:rPr>
            </w:pPr>
            <w:r w:rsidRPr="00EF013D">
              <w:rPr>
                <w:rFonts w:ascii="Arial" w:hAnsi="Arial" w:cs="Arial"/>
                <w:sz w:val="24"/>
                <w:szCs w:val="24"/>
              </w:rPr>
              <w:t>Interest on net debt</w:t>
            </w:r>
          </w:p>
        </w:tc>
        <w:tc>
          <w:tcPr>
            <w:tcW w:w="686" w:type="pct"/>
            <w:vAlign w:val="bottom"/>
          </w:tcPr>
          <w:p w:rsidR="00071D62" w:rsidRPr="00D26AE2" w:rsidRDefault="00071D62" w:rsidP="004948B3">
            <w:pPr>
              <w:jc w:val="right"/>
              <w:rPr>
                <w:rFonts w:ascii="Arial" w:hAnsi="Arial" w:cs="Arial"/>
                <w:b/>
                <w:bCs/>
                <w:sz w:val="24"/>
                <w:szCs w:val="24"/>
              </w:rPr>
            </w:pPr>
            <w:r w:rsidRPr="00D26AE2">
              <w:rPr>
                <w:rFonts w:ascii="Arial" w:hAnsi="Arial" w:cs="Arial"/>
                <w:b/>
                <w:bCs/>
                <w:sz w:val="24"/>
                <w:szCs w:val="24"/>
              </w:rPr>
              <w:t>(</w:t>
            </w:r>
            <w:r>
              <w:rPr>
                <w:rFonts w:ascii="Arial" w:hAnsi="Arial" w:cs="Arial"/>
                <w:b/>
                <w:bCs/>
                <w:sz w:val="24"/>
                <w:szCs w:val="24"/>
              </w:rPr>
              <w:t>6</w:t>
            </w:r>
            <w:r w:rsidRPr="00D26AE2">
              <w:rPr>
                <w:rFonts w:ascii="Arial" w:hAnsi="Arial" w:cs="Arial"/>
                <w:b/>
                <w:bCs/>
                <w:sz w:val="24"/>
                <w:szCs w:val="24"/>
              </w:rPr>
              <w:t>)</w:t>
            </w:r>
          </w:p>
        </w:tc>
        <w:tc>
          <w:tcPr>
            <w:tcW w:w="790" w:type="pct"/>
            <w:vAlign w:val="bottom"/>
          </w:tcPr>
          <w:p w:rsidR="00071D62" w:rsidRPr="00185E72" w:rsidRDefault="00071D62" w:rsidP="004948B3">
            <w:pPr>
              <w:jc w:val="right"/>
              <w:rPr>
                <w:rFonts w:ascii="Arial" w:hAnsi="Arial" w:cs="Arial"/>
                <w:sz w:val="24"/>
                <w:szCs w:val="24"/>
              </w:rPr>
            </w:pPr>
            <w:r w:rsidRPr="00185E72">
              <w:rPr>
                <w:rFonts w:ascii="Arial" w:hAnsi="Arial" w:cs="Arial"/>
                <w:sz w:val="24"/>
                <w:szCs w:val="24"/>
              </w:rPr>
              <w:t>(1</w:t>
            </w:r>
            <w:r>
              <w:rPr>
                <w:rFonts w:ascii="Arial" w:hAnsi="Arial" w:cs="Arial"/>
                <w:sz w:val="24"/>
                <w:szCs w:val="24"/>
              </w:rPr>
              <w:t>6</w:t>
            </w:r>
            <w:r w:rsidRPr="00185E72">
              <w:rPr>
                <w:rFonts w:ascii="Arial" w:hAnsi="Arial" w:cs="Arial"/>
                <w:sz w:val="24"/>
                <w:szCs w:val="24"/>
              </w:rPr>
              <w:t>)</w:t>
            </w:r>
          </w:p>
        </w:tc>
      </w:tr>
      <w:tr w:rsidR="00071D62" w:rsidRPr="00525B67">
        <w:trPr>
          <w:trHeight w:val="245"/>
        </w:trPr>
        <w:tc>
          <w:tcPr>
            <w:tcW w:w="3524" w:type="pct"/>
            <w:vAlign w:val="bottom"/>
          </w:tcPr>
          <w:p w:rsidR="00071D62" w:rsidRPr="00EF013D" w:rsidRDefault="00071D62" w:rsidP="004948B3">
            <w:pPr>
              <w:rPr>
                <w:rFonts w:ascii="Arial" w:hAnsi="Arial" w:cs="Arial"/>
                <w:b/>
                <w:bCs/>
                <w:sz w:val="24"/>
                <w:szCs w:val="24"/>
              </w:rPr>
            </w:pPr>
            <w:r w:rsidRPr="00EF013D">
              <w:rPr>
                <w:rFonts w:ascii="Arial" w:hAnsi="Arial" w:cs="Arial"/>
                <w:b/>
                <w:bCs/>
                <w:sz w:val="24"/>
                <w:szCs w:val="24"/>
              </w:rPr>
              <w:t>Non Cash</w:t>
            </w:r>
          </w:p>
        </w:tc>
        <w:tc>
          <w:tcPr>
            <w:tcW w:w="686" w:type="pct"/>
            <w:vAlign w:val="bottom"/>
          </w:tcPr>
          <w:p w:rsidR="00071D62" w:rsidRPr="00D26AE2" w:rsidRDefault="00071D62" w:rsidP="004948B3">
            <w:pPr>
              <w:jc w:val="right"/>
              <w:rPr>
                <w:rFonts w:ascii="Arial" w:hAnsi="Arial" w:cs="Arial"/>
                <w:b/>
                <w:bCs/>
                <w:sz w:val="24"/>
                <w:szCs w:val="24"/>
              </w:rPr>
            </w:pPr>
          </w:p>
        </w:tc>
        <w:tc>
          <w:tcPr>
            <w:tcW w:w="790" w:type="pct"/>
            <w:vAlign w:val="bottom"/>
          </w:tcPr>
          <w:p w:rsidR="00071D62" w:rsidRPr="00185E72" w:rsidRDefault="00071D62" w:rsidP="004948B3">
            <w:pPr>
              <w:jc w:val="right"/>
              <w:rPr>
                <w:rFonts w:ascii="Arial" w:hAnsi="Arial" w:cs="Arial"/>
                <w:sz w:val="24"/>
                <w:szCs w:val="24"/>
              </w:rPr>
            </w:pPr>
          </w:p>
        </w:tc>
      </w:tr>
      <w:tr w:rsidR="00071D62" w:rsidRPr="00525B67">
        <w:trPr>
          <w:trHeight w:val="254"/>
        </w:trPr>
        <w:tc>
          <w:tcPr>
            <w:tcW w:w="3524" w:type="pct"/>
            <w:vAlign w:val="bottom"/>
          </w:tcPr>
          <w:p w:rsidR="00071D62" w:rsidRPr="00EF013D" w:rsidRDefault="00071D62" w:rsidP="004948B3">
            <w:pPr>
              <w:rPr>
                <w:rFonts w:ascii="Arial" w:hAnsi="Arial" w:cs="Arial"/>
                <w:sz w:val="24"/>
                <w:szCs w:val="24"/>
              </w:rPr>
            </w:pPr>
            <w:r w:rsidRPr="00EF013D">
              <w:rPr>
                <w:rFonts w:ascii="Arial" w:hAnsi="Arial" w:cs="Arial"/>
                <w:sz w:val="24"/>
                <w:szCs w:val="24"/>
              </w:rPr>
              <w:t xml:space="preserve">Interest </w:t>
            </w:r>
            <w:r>
              <w:rPr>
                <w:rFonts w:ascii="Arial" w:hAnsi="Arial" w:cs="Arial"/>
                <w:sz w:val="24"/>
                <w:szCs w:val="24"/>
              </w:rPr>
              <w:t>return/(charge)</w:t>
            </w:r>
            <w:r w:rsidRPr="00EF013D">
              <w:rPr>
                <w:rFonts w:ascii="Arial" w:hAnsi="Arial" w:cs="Arial"/>
                <w:sz w:val="24"/>
                <w:szCs w:val="24"/>
              </w:rPr>
              <w:t xml:space="preserve"> on defined benefit pension scheme</w:t>
            </w:r>
          </w:p>
        </w:tc>
        <w:tc>
          <w:tcPr>
            <w:tcW w:w="686" w:type="pct"/>
            <w:vAlign w:val="bottom"/>
          </w:tcPr>
          <w:p w:rsidR="00071D62" w:rsidRPr="00D26AE2" w:rsidRDefault="00071D62" w:rsidP="004948B3">
            <w:pPr>
              <w:jc w:val="right"/>
              <w:rPr>
                <w:rFonts w:ascii="Arial" w:hAnsi="Arial" w:cs="Arial"/>
                <w:b/>
                <w:bCs/>
                <w:sz w:val="24"/>
                <w:szCs w:val="24"/>
              </w:rPr>
            </w:pPr>
            <w:r>
              <w:rPr>
                <w:rFonts w:ascii="Arial" w:hAnsi="Arial" w:cs="Arial"/>
                <w:b/>
                <w:bCs/>
                <w:sz w:val="24"/>
                <w:szCs w:val="24"/>
              </w:rPr>
              <w:t>1</w:t>
            </w:r>
          </w:p>
        </w:tc>
        <w:tc>
          <w:tcPr>
            <w:tcW w:w="790" w:type="pct"/>
            <w:vAlign w:val="bottom"/>
          </w:tcPr>
          <w:p w:rsidR="00071D62" w:rsidRPr="00185E72" w:rsidRDefault="00071D62" w:rsidP="004948B3">
            <w:pPr>
              <w:jc w:val="right"/>
              <w:rPr>
                <w:rFonts w:ascii="Arial" w:hAnsi="Arial" w:cs="Arial"/>
                <w:sz w:val="24"/>
                <w:szCs w:val="24"/>
              </w:rPr>
            </w:pPr>
            <w:r w:rsidRPr="00185E72">
              <w:rPr>
                <w:rFonts w:ascii="Arial" w:hAnsi="Arial" w:cs="Arial"/>
                <w:sz w:val="24"/>
                <w:szCs w:val="24"/>
              </w:rPr>
              <w:t>(4)</w:t>
            </w:r>
          </w:p>
        </w:tc>
      </w:tr>
      <w:tr w:rsidR="00071D62" w:rsidRPr="00525B67">
        <w:trPr>
          <w:trHeight w:val="254"/>
        </w:trPr>
        <w:tc>
          <w:tcPr>
            <w:tcW w:w="3524" w:type="pct"/>
            <w:tcBorders>
              <w:bottom w:val="single" w:sz="4" w:space="0" w:color="auto"/>
            </w:tcBorders>
            <w:vAlign w:val="bottom"/>
          </w:tcPr>
          <w:p w:rsidR="00071D62" w:rsidRPr="00EF013D" w:rsidRDefault="00071D62" w:rsidP="004948B3">
            <w:pPr>
              <w:rPr>
                <w:rFonts w:ascii="Arial" w:hAnsi="Arial" w:cs="Arial"/>
                <w:sz w:val="24"/>
                <w:szCs w:val="24"/>
              </w:rPr>
            </w:pPr>
            <w:r w:rsidRPr="00EF013D">
              <w:rPr>
                <w:rFonts w:ascii="Arial" w:hAnsi="Arial" w:cs="Arial"/>
                <w:sz w:val="24"/>
                <w:szCs w:val="24"/>
              </w:rPr>
              <w:t>Other</w:t>
            </w:r>
          </w:p>
        </w:tc>
        <w:tc>
          <w:tcPr>
            <w:tcW w:w="686" w:type="pct"/>
            <w:tcBorders>
              <w:bottom w:val="single" w:sz="4" w:space="0" w:color="auto"/>
            </w:tcBorders>
            <w:vAlign w:val="bottom"/>
          </w:tcPr>
          <w:p w:rsidR="00071D62" w:rsidRPr="00D26AE2" w:rsidRDefault="00071D62" w:rsidP="004948B3">
            <w:pPr>
              <w:jc w:val="right"/>
              <w:rPr>
                <w:rFonts w:ascii="Arial" w:hAnsi="Arial" w:cs="Arial"/>
                <w:b/>
                <w:bCs/>
                <w:sz w:val="24"/>
                <w:szCs w:val="24"/>
              </w:rPr>
            </w:pPr>
            <w:r>
              <w:rPr>
                <w:rFonts w:ascii="Arial" w:hAnsi="Arial" w:cs="Arial"/>
                <w:b/>
                <w:bCs/>
                <w:sz w:val="24"/>
                <w:szCs w:val="24"/>
              </w:rPr>
              <w:t>1</w:t>
            </w:r>
          </w:p>
        </w:tc>
        <w:tc>
          <w:tcPr>
            <w:tcW w:w="790" w:type="pct"/>
            <w:tcBorders>
              <w:bottom w:val="single" w:sz="4" w:space="0" w:color="auto"/>
            </w:tcBorders>
            <w:vAlign w:val="bottom"/>
          </w:tcPr>
          <w:p w:rsidR="00071D62" w:rsidRPr="00185E72" w:rsidRDefault="00071D62" w:rsidP="004948B3">
            <w:pPr>
              <w:jc w:val="right"/>
              <w:rPr>
                <w:rFonts w:ascii="Arial" w:hAnsi="Arial" w:cs="Arial"/>
                <w:sz w:val="24"/>
                <w:szCs w:val="24"/>
              </w:rPr>
            </w:pPr>
            <w:r>
              <w:rPr>
                <w:rFonts w:ascii="Arial" w:hAnsi="Arial" w:cs="Arial"/>
                <w:sz w:val="24"/>
                <w:szCs w:val="24"/>
              </w:rPr>
              <w:t>-</w:t>
            </w:r>
          </w:p>
        </w:tc>
      </w:tr>
      <w:tr w:rsidR="00071D62" w:rsidRPr="00525B67">
        <w:trPr>
          <w:trHeight w:val="254"/>
        </w:trPr>
        <w:tc>
          <w:tcPr>
            <w:tcW w:w="3524" w:type="pct"/>
            <w:tcBorders>
              <w:top w:val="single" w:sz="4" w:space="0" w:color="auto"/>
            </w:tcBorders>
            <w:vAlign w:val="bottom"/>
          </w:tcPr>
          <w:p w:rsidR="00071D62" w:rsidRPr="00895AD8" w:rsidRDefault="00071D62" w:rsidP="004948B3">
            <w:pPr>
              <w:rPr>
                <w:rFonts w:ascii="Arial" w:hAnsi="Arial" w:cs="Arial"/>
                <w:b/>
                <w:bCs/>
                <w:sz w:val="24"/>
                <w:szCs w:val="24"/>
              </w:rPr>
            </w:pPr>
            <w:r>
              <w:rPr>
                <w:rFonts w:ascii="Arial" w:hAnsi="Arial" w:cs="Arial"/>
                <w:b/>
                <w:bCs/>
                <w:sz w:val="24"/>
                <w:szCs w:val="24"/>
              </w:rPr>
              <w:t>Underlying net interest</w:t>
            </w:r>
          </w:p>
        </w:tc>
        <w:tc>
          <w:tcPr>
            <w:tcW w:w="686" w:type="pct"/>
            <w:tcBorders>
              <w:top w:val="single" w:sz="4" w:space="0" w:color="auto"/>
            </w:tcBorders>
            <w:vAlign w:val="bottom"/>
          </w:tcPr>
          <w:p w:rsidR="00071D62" w:rsidRPr="00D26AE2" w:rsidRDefault="00071D62" w:rsidP="004948B3">
            <w:pPr>
              <w:jc w:val="right"/>
              <w:rPr>
                <w:rFonts w:ascii="Arial" w:hAnsi="Arial" w:cs="Arial"/>
                <w:b/>
                <w:bCs/>
                <w:sz w:val="24"/>
                <w:szCs w:val="24"/>
              </w:rPr>
            </w:pPr>
            <w:r>
              <w:rPr>
                <w:rFonts w:ascii="Arial" w:hAnsi="Arial" w:cs="Arial"/>
                <w:b/>
                <w:bCs/>
                <w:sz w:val="24"/>
                <w:szCs w:val="24"/>
              </w:rPr>
              <w:t>(</w:t>
            </w:r>
            <w:r w:rsidRPr="00D26AE2">
              <w:rPr>
                <w:rFonts w:ascii="Arial" w:hAnsi="Arial" w:cs="Arial"/>
                <w:b/>
                <w:bCs/>
                <w:sz w:val="24"/>
                <w:szCs w:val="24"/>
              </w:rPr>
              <w:t>4</w:t>
            </w:r>
            <w:r>
              <w:rPr>
                <w:rFonts w:ascii="Arial" w:hAnsi="Arial" w:cs="Arial"/>
                <w:b/>
                <w:bCs/>
                <w:sz w:val="24"/>
                <w:szCs w:val="24"/>
              </w:rPr>
              <w:t>)</w:t>
            </w:r>
          </w:p>
        </w:tc>
        <w:tc>
          <w:tcPr>
            <w:tcW w:w="790" w:type="pct"/>
            <w:tcBorders>
              <w:top w:val="single" w:sz="4" w:space="0" w:color="auto"/>
            </w:tcBorders>
            <w:vAlign w:val="bottom"/>
          </w:tcPr>
          <w:p w:rsidR="00071D62" w:rsidRPr="00185E72" w:rsidRDefault="00071D62" w:rsidP="004948B3">
            <w:pPr>
              <w:jc w:val="right"/>
              <w:rPr>
                <w:rFonts w:ascii="Arial" w:hAnsi="Arial" w:cs="Arial"/>
                <w:sz w:val="24"/>
                <w:szCs w:val="24"/>
              </w:rPr>
            </w:pPr>
            <w:r w:rsidRPr="00185E72">
              <w:rPr>
                <w:rFonts w:ascii="Arial" w:hAnsi="Arial" w:cs="Arial"/>
                <w:sz w:val="24"/>
                <w:szCs w:val="24"/>
              </w:rPr>
              <w:t>(20)</w:t>
            </w:r>
          </w:p>
        </w:tc>
      </w:tr>
      <w:tr w:rsidR="00071D62" w:rsidRPr="00525B67">
        <w:trPr>
          <w:trHeight w:val="254"/>
        </w:trPr>
        <w:tc>
          <w:tcPr>
            <w:tcW w:w="3524" w:type="pct"/>
            <w:tcBorders>
              <w:bottom w:val="single" w:sz="4" w:space="0" w:color="auto"/>
            </w:tcBorders>
            <w:vAlign w:val="bottom"/>
          </w:tcPr>
          <w:p w:rsidR="00071D62" w:rsidRPr="00EF013D" w:rsidRDefault="00071D62" w:rsidP="004948B3">
            <w:pPr>
              <w:rPr>
                <w:rFonts w:ascii="Arial" w:hAnsi="Arial" w:cs="Arial"/>
                <w:sz w:val="24"/>
                <w:szCs w:val="24"/>
              </w:rPr>
            </w:pPr>
            <w:r w:rsidRPr="00EF013D">
              <w:rPr>
                <w:rFonts w:ascii="Arial" w:hAnsi="Arial" w:cs="Arial"/>
                <w:sz w:val="24"/>
                <w:szCs w:val="24"/>
              </w:rPr>
              <w:t>Financing fair value remeasurements</w:t>
            </w:r>
          </w:p>
        </w:tc>
        <w:tc>
          <w:tcPr>
            <w:tcW w:w="686" w:type="pct"/>
            <w:tcBorders>
              <w:bottom w:val="single" w:sz="4" w:space="0" w:color="auto"/>
            </w:tcBorders>
            <w:vAlign w:val="bottom"/>
          </w:tcPr>
          <w:p w:rsidR="00071D62" w:rsidRPr="00D26AE2" w:rsidRDefault="00071D62" w:rsidP="004948B3">
            <w:pPr>
              <w:jc w:val="right"/>
              <w:rPr>
                <w:rFonts w:ascii="Arial" w:hAnsi="Arial" w:cs="Arial"/>
                <w:b/>
                <w:bCs/>
                <w:sz w:val="24"/>
                <w:szCs w:val="24"/>
              </w:rPr>
            </w:pPr>
            <w:r w:rsidRPr="00D26AE2">
              <w:rPr>
                <w:rFonts w:ascii="Arial" w:hAnsi="Arial" w:cs="Arial"/>
                <w:b/>
                <w:bCs/>
                <w:sz w:val="24"/>
                <w:szCs w:val="24"/>
              </w:rPr>
              <w:t>(1)</w:t>
            </w:r>
          </w:p>
        </w:tc>
        <w:tc>
          <w:tcPr>
            <w:tcW w:w="790" w:type="pct"/>
            <w:tcBorders>
              <w:bottom w:val="single" w:sz="4" w:space="0" w:color="auto"/>
            </w:tcBorders>
            <w:vAlign w:val="bottom"/>
          </w:tcPr>
          <w:p w:rsidR="00071D62" w:rsidRPr="00185E72" w:rsidRDefault="00071D62" w:rsidP="004948B3">
            <w:pPr>
              <w:jc w:val="right"/>
              <w:rPr>
                <w:rFonts w:ascii="Arial" w:hAnsi="Arial" w:cs="Arial"/>
                <w:sz w:val="24"/>
                <w:szCs w:val="24"/>
              </w:rPr>
            </w:pPr>
            <w:r w:rsidRPr="00185E72">
              <w:rPr>
                <w:rFonts w:ascii="Arial" w:hAnsi="Arial" w:cs="Arial"/>
                <w:sz w:val="24"/>
                <w:szCs w:val="24"/>
              </w:rPr>
              <w:t>4</w:t>
            </w:r>
          </w:p>
        </w:tc>
      </w:tr>
      <w:tr w:rsidR="00071D62" w:rsidRPr="00525B67">
        <w:trPr>
          <w:trHeight w:val="308"/>
        </w:trPr>
        <w:tc>
          <w:tcPr>
            <w:tcW w:w="3524" w:type="pct"/>
            <w:tcBorders>
              <w:top w:val="single" w:sz="4" w:space="0" w:color="auto"/>
              <w:bottom w:val="single" w:sz="4" w:space="0" w:color="auto"/>
            </w:tcBorders>
            <w:vAlign w:val="bottom"/>
          </w:tcPr>
          <w:p w:rsidR="00071D62" w:rsidRPr="00EF013D" w:rsidRDefault="00071D62" w:rsidP="004948B3">
            <w:pPr>
              <w:jc w:val="left"/>
              <w:rPr>
                <w:rFonts w:ascii="Arial" w:hAnsi="Arial" w:cs="Arial"/>
                <w:b/>
                <w:bCs/>
                <w:sz w:val="24"/>
                <w:szCs w:val="24"/>
              </w:rPr>
            </w:pPr>
            <w:r w:rsidRPr="00EF013D">
              <w:rPr>
                <w:rFonts w:ascii="Arial" w:hAnsi="Arial" w:cs="Arial"/>
                <w:b/>
                <w:bCs/>
                <w:sz w:val="24"/>
                <w:szCs w:val="24"/>
              </w:rPr>
              <w:t xml:space="preserve">Statutory net interest </w:t>
            </w:r>
          </w:p>
        </w:tc>
        <w:tc>
          <w:tcPr>
            <w:tcW w:w="686" w:type="pct"/>
            <w:tcBorders>
              <w:top w:val="single" w:sz="4" w:space="0" w:color="auto"/>
              <w:bottom w:val="single" w:sz="4" w:space="0" w:color="auto"/>
            </w:tcBorders>
            <w:vAlign w:val="bottom"/>
          </w:tcPr>
          <w:p w:rsidR="00071D62" w:rsidRPr="00D26AE2" w:rsidRDefault="00071D62" w:rsidP="004948B3">
            <w:pPr>
              <w:jc w:val="right"/>
              <w:rPr>
                <w:rFonts w:ascii="Arial" w:hAnsi="Arial" w:cs="Arial"/>
                <w:b/>
                <w:bCs/>
                <w:sz w:val="24"/>
                <w:szCs w:val="24"/>
              </w:rPr>
            </w:pPr>
            <w:r w:rsidRPr="00D26AE2">
              <w:rPr>
                <w:rFonts w:ascii="Arial" w:hAnsi="Arial" w:cs="Arial"/>
                <w:b/>
                <w:bCs/>
                <w:sz w:val="24"/>
                <w:szCs w:val="24"/>
              </w:rPr>
              <w:t>(5)</w:t>
            </w:r>
          </w:p>
        </w:tc>
        <w:tc>
          <w:tcPr>
            <w:tcW w:w="790" w:type="pct"/>
            <w:tcBorders>
              <w:top w:val="single" w:sz="4" w:space="0" w:color="auto"/>
              <w:bottom w:val="single" w:sz="4" w:space="0" w:color="auto"/>
            </w:tcBorders>
            <w:vAlign w:val="bottom"/>
          </w:tcPr>
          <w:p w:rsidR="00071D62" w:rsidRPr="00185E72" w:rsidRDefault="00071D62" w:rsidP="004948B3">
            <w:pPr>
              <w:jc w:val="right"/>
              <w:rPr>
                <w:rFonts w:ascii="Arial" w:hAnsi="Arial" w:cs="Arial"/>
                <w:sz w:val="24"/>
                <w:szCs w:val="24"/>
              </w:rPr>
            </w:pPr>
            <w:r w:rsidRPr="00185E72">
              <w:rPr>
                <w:rFonts w:ascii="Arial" w:hAnsi="Arial" w:cs="Arial"/>
                <w:sz w:val="24"/>
                <w:szCs w:val="24"/>
              </w:rPr>
              <w:t>(16)</w:t>
            </w:r>
          </w:p>
        </w:tc>
      </w:tr>
    </w:tbl>
    <w:p w:rsidR="00071D62" w:rsidRDefault="00071D62" w:rsidP="00995156">
      <w:pPr>
        <w:ind w:right="-368"/>
        <w:jc w:val="left"/>
        <w:rPr>
          <w:rFonts w:ascii="Arial" w:hAnsi="Arial" w:cs="Arial"/>
          <w:sz w:val="24"/>
          <w:szCs w:val="24"/>
          <w:highlight w:val="yellow"/>
        </w:rPr>
      </w:pPr>
    </w:p>
    <w:p w:rsidR="00071D62" w:rsidRPr="009B09C5" w:rsidRDefault="00071D62" w:rsidP="00995156">
      <w:pPr>
        <w:jc w:val="left"/>
        <w:rPr>
          <w:rFonts w:ascii="Arial" w:hAnsi="Arial" w:cs="Arial"/>
          <w:sz w:val="20"/>
          <w:szCs w:val="20"/>
        </w:rPr>
      </w:pPr>
      <w:r w:rsidRPr="00553810">
        <w:rPr>
          <w:rFonts w:ascii="Arial" w:hAnsi="Arial" w:cs="Arial"/>
          <w:sz w:val="24"/>
          <w:szCs w:val="24"/>
        </w:rPr>
        <w:t>Underlying net interest has fallen by £1</w:t>
      </w:r>
      <w:r>
        <w:rPr>
          <w:rFonts w:ascii="Arial" w:hAnsi="Arial" w:cs="Arial"/>
          <w:sz w:val="24"/>
          <w:szCs w:val="24"/>
        </w:rPr>
        <w:t>6</w:t>
      </w:r>
      <w:r w:rsidRPr="00553810">
        <w:rPr>
          <w:rFonts w:ascii="Arial" w:hAnsi="Arial" w:cs="Arial"/>
          <w:sz w:val="24"/>
          <w:szCs w:val="24"/>
        </w:rPr>
        <w:t xml:space="preserve"> million driven by a fall in interest on net debt and the interest on our defined </w:t>
      </w:r>
      <w:r w:rsidRPr="00174B61">
        <w:rPr>
          <w:rFonts w:ascii="Arial" w:hAnsi="Arial" w:cs="Arial"/>
          <w:sz w:val="24"/>
          <w:szCs w:val="24"/>
        </w:rPr>
        <w:t xml:space="preserve">benefit pension scheme. </w:t>
      </w:r>
      <w:r>
        <w:rPr>
          <w:rFonts w:ascii="Arial" w:hAnsi="Arial" w:cs="Arial"/>
          <w:sz w:val="24"/>
          <w:szCs w:val="24"/>
        </w:rPr>
        <w:t>Interest on net debt has fa</w:t>
      </w:r>
      <w:r w:rsidRPr="00174B61">
        <w:rPr>
          <w:rFonts w:ascii="Arial" w:hAnsi="Arial" w:cs="Arial"/>
          <w:sz w:val="24"/>
          <w:szCs w:val="24"/>
        </w:rPr>
        <w:t>llen</w:t>
      </w:r>
      <w:r>
        <w:rPr>
          <w:rFonts w:ascii="Arial" w:hAnsi="Arial" w:cs="Arial"/>
          <w:sz w:val="24"/>
          <w:szCs w:val="24"/>
        </w:rPr>
        <w:t xml:space="preserve"> </w:t>
      </w:r>
      <w:r w:rsidRPr="00174B61">
        <w:rPr>
          <w:rFonts w:ascii="Arial" w:hAnsi="Arial" w:cs="Arial"/>
          <w:sz w:val="24"/>
          <w:szCs w:val="24"/>
        </w:rPr>
        <w:t xml:space="preserve">principally as a result of long-term debt bought back and redeemed in the past year. The debt buybacks were </w:t>
      </w:r>
      <w:r w:rsidRPr="009B09C5">
        <w:rPr>
          <w:rFonts w:ascii="Arial" w:hAnsi="Arial" w:cs="Arial"/>
          <w:sz w:val="24"/>
          <w:szCs w:val="24"/>
        </w:rPr>
        <w:t xml:space="preserve">enabled by the Group’s focus on cash as part of the </w:t>
      </w:r>
      <w:r>
        <w:rPr>
          <w:rFonts w:ascii="Arial" w:hAnsi="Arial" w:cs="Arial"/>
          <w:sz w:val="24"/>
          <w:szCs w:val="24"/>
        </w:rPr>
        <w:t>‘</w:t>
      </w:r>
      <w:r w:rsidRPr="009B09C5">
        <w:rPr>
          <w:rFonts w:ascii="Arial" w:hAnsi="Arial" w:cs="Arial"/>
          <w:sz w:val="24"/>
          <w:szCs w:val="24"/>
        </w:rPr>
        <w:t>Delivering Value</w:t>
      </w:r>
      <w:r>
        <w:rPr>
          <w:rFonts w:ascii="Arial" w:hAnsi="Arial" w:cs="Arial"/>
          <w:sz w:val="24"/>
          <w:szCs w:val="24"/>
        </w:rPr>
        <w:t>’</w:t>
      </w:r>
      <w:r w:rsidRPr="009B09C5">
        <w:rPr>
          <w:rFonts w:ascii="Arial" w:hAnsi="Arial" w:cs="Arial"/>
          <w:sz w:val="24"/>
          <w:szCs w:val="24"/>
        </w:rPr>
        <w:t xml:space="preserve"> programme. Pensions interest is calculated using the gross asset and liability positions and market return and discount rates at the start of the year. The year on year movement is mainly due to a higher asset position at the start of the current period.</w:t>
      </w:r>
    </w:p>
    <w:p w:rsidR="00071D62" w:rsidRPr="00F521FD" w:rsidRDefault="00071D62" w:rsidP="00995156">
      <w:pPr>
        <w:rPr>
          <w:rFonts w:ascii="Arial" w:hAnsi="Arial" w:cs="Arial"/>
          <w:sz w:val="24"/>
          <w:szCs w:val="24"/>
        </w:rPr>
      </w:pPr>
    </w:p>
    <w:p w:rsidR="00071D62" w:rsidRPr="00E530B3" w:rsidRDefault="00071D62" w:rsidP="00995156">
      <w:pPr>
        <w:jc w:val="left"/>
        <w:rPr>
          <w:rFonts w:ascii="Arial" w:hAnsi="Arial" w:cs="Arial"/>
          <w:b/>
          <w:bCs/>
          <w:sz w:val="24"/>
          <w:szCs w:val="24"/>
        </w:rPr>
      </w:pPr>
      <w:r w:rsidRPr="00E530B3">
        <w:rPr>
          <w:rFonts w:ascii="Arial" w:hAnsi="Arial" w:cs="Arial"/>
          <w:b/>
          <w:bCs/>
          <w:sz w:val="24"/>
          <w:szCs w:val="24"/>
        </w:rPr>
        <w:t>Taxation</w:t>
      </w:r>
    </w:p>
    <w:p w:rsidR="00071D62" w:rsidRPr="00700E2D" w:rsidRDefault="00071D62" w:rsidP="00995156">
      <w:pPr>
        <w:jc w:val="left"/>
        <w:rPr>
          <w:rFonts w:ascii="Arial" w:hAnsi="Arial" w:cs="Arial"/>
          <w:sz w:val="24"/>
          <w:szCs w:val="24"/>
        </w:rPr>
      </w:pPr>
      <w:r w:rsidRPr="00700E2D">
        <w:rPr>
          <w:rFonts w:ascii="Arial" w:hAnsi="Arial" w:cs="Arial"/>
          <w:sz w:val="24"/>
          <w:szCs w:val="24"/>
        </w:rPr>
        <w:t>The effective rate of tax, calculated on profit bef</w:t>
      </w:r>
      <w:r>
        <w:rPr>
          <w:rFonts w:ascii="Arial" w:hAnsi="Arial" w:cs="Arial"/>
          <w:sz w:val="24"/>
          <w:szCs w:val="24"/>
        </w:rPr>
        <w:t>ore exceptional items, prior year</w:t>
      </w:r>
      <w:r w:rsidRPr="00700E2D">
        <w:rPr>
          <w:rFonts w:ascii="Arial" w:hAnsi="Arial" w:cs="Arial"/>
          <w:sz w:val="24"/>
          <w:szCs w:val="24"/>
        </w:rPr>
        <w:t xml:space="preserve"> tax adjustments and the impact of rate changes is </w:t>
      </w:r>
      <w:r>
        <w:rPr>
          <w:rFonts w:ascii="Arial" w:hAnsi="Arial" w:cs="Arial"/>
          <w:sz w:val="24"/>
          <w:szCs w:val="24"/>
        </w:rPr>
        <w:t>28</w:t>
      </w:r>
      <w:r w:rsidRPr="00700E2D">
        <w:rPr>
          <w:rFonts w:ascii="Arial" w:hAnsi="Arial" w:cs="Arial"/>
          <w:sz w:val="24"/>
          <w:szCs w:val="24"/>
        </w:rPr>
        <w:t>% (</w:t>
      </w:r>
      <w:r>
        <w:rPr>
          <w:rFonts w:ascii="Arial" w:hAnsi="Arial" w:cs="Arial"/>
          <w:sz w:val="24"/>
          <w:szCs w:val="24"/>
        </w:rPr>
        <w:t>2010/11: 30</w:t>
      </w:r>
      <w:r w:rsidRPr="00700E2D">
        <w:rPr>
          <w:rFonts w:ascii="Arial" w:hAnsi="Arial" w:cs="Arial"/>
          <w:sz w:val="24"/>
          <w:szCs w:val="24"/>
        </w:rPr>
        <w:t>%).</w:t>
      </w:r>
    </w:p>
    <w:p w:rsidR="00071D62" w:rsidRPr="00700E2D" w:rsidRDefault="00071D62" w:rsidP="00995156">
      <w:pPr>
        <w:rPr>
          <w:rFonts w:ascii="Arial" w:hAnsi="Arial" w:cs="Arial"/>
          <w:sz w:val="24"/>
          <w:szCs w:val="24"/>
        </w:rPr>
      </w:pPr>
    </w:p>
    <w:tbl>
      <w:tblPr>
        <w:tblW w:w="9288" w:type="dxa"/>
        <w:tblInd w:w="2" w:type="dxa"/>
        <w:tblLayout w:type="fixed"/>
        <w:tblLook w:val="01E0"/>
      </w:tblPr>
      <w:tblGrid>
        <w:gridCol w:w="5148"/>
        <w:gridCol w:w="1380"/>
        <w:gridCol w:w="1380"/>
        <w:gridCol w:w="1380"/>
      </w:tblGrid>
      <w:tr w:rsidR="00071D62" w:rsidRPr="00995156">
        <w:trPr>
          <w:trHeight w:val="677"/>
        </w:trPr>
        <w:tc>
          <w:tcPr>
            <w:tcW w:w="5148" w:type="dxa"/>
            <w:tcBorders>
              <w:bottom w:val="single" w:sz="4" w:space="0" w:color="auto"/>
            </w:tcBorders>
          </w:tcPr>
          <w:p w:rsidR="00071D62" w:rsidRPr="00AE0A09" w:rsidRDefault="00071D62" w:rsidP="004948B3">
            <w:pPr>
              <w:rPr>
                <w:rFonts w:ascii="Arial" w:hAnsi="Arial" w:cs="Arial"/>
                <w:sz w:val="24"/>
                <w:szCs w:val="24"/>
              </w:rPr>
            </w:pPr>
            <w:r w:rsidRPr="001E35B4">
              <w:rPr>
                <w:rFonts w:ascii="Arial" w:hAnsi="Arial" w:cs="Arial"/>
                <w:sz w:val="24"/>
                <w:szCs w:val="24"/>
              </w:rPr>
              <w:t>Effective tax rate calculation 2011/12</w:t>
            </w:r>
          </w:p>
        </w:tc>
        <w:tc>
          <w:tcPr>
            <w:tcW w:w="1380" w:type="dxa"/>
            <w:tcBorders>
              <w:bottom w:val="single" w:sz="4" w:space="0" w:color="auto"/>
            </w:tcBorders>
          </w:tcPr>
          <w:p w:rsidR="00071D62" w:rsidRPr="00995156" w:rsidRDefault="00071D62" w:rsidP="00995156">
            <w:pPr>
              <w:jc w:val="right"/>
              <w:rPr>
                <w:rFonts w:ascii="Arial" w:hAnsi="Arial" w:cs="Arial"/>
                <w:b/>
                <w:bCs/>
                <w:sz w:val="24"/>
                <w:szCs w:val="24"/>
              </w:rPr>
            </w:pPr>
            <w:r w:rsidRPr="00995156">
              <w:rPr>
                <w:rFonts w:ascii="Arial" w:hAnsi="Arial" w:cs="Arial"/>
                <w:b/>
                <w:bCs/>
                <w:sz w:val="24"/>
                <w:szCs w:val="24"/>
              </w:rPr>
              <w:t>Profit</w:t>
            </w:r>
          </w:p>
          <w:p w:rsidR="00071D62" w:rsidRPr="00995156" w:rsidRDefault="00071D62" w:rsidP="00995156">
            <w:pPr>
              <w:jc w:val="right"/>
              <w:rPr>
                <w:rFonts w:ascii="Arial" w:hAnsi="Arial" w:cs="Arial"/>
                <w:b/>
                <w:bCs/>
                <w:sz w:val="24"/>
                <w:szCs w:val="24"/>
              </w:rPr>
            </w:pPr>
            <w:r w:rsidRPr="00995156">
              <w:rPr>
                <w:rFonts w:ascii="Arial" w:hAnsi="Arial" w:cs="Arial"/>
                <w:b/>
                <w:bCs/>
                <w:sz w:val="24"/>
                <w:szCs w:val="24"/>
              </w:rPr>
              <w:t>£m</w:t>
            </w:r>
          </w:p>
        </w:tc>
        <w:tc>
          <w:tcPr>
            <w:tcW w:w="1380" w:type="dxa"/>
            <w:tcBorders>
              <w:bottom w:val="single" w:sz="4" w:space="0" w:color="auto"/>
            </w:tcBorders>
          </w:tcPr>
          <w:p w:rsidR="00071D62" w:rsidRPr="00995156" w:rsidRDefault="00071D62" w:rsidP="00995156">
            <w:pPr>
              <w:jc w:val="right"/>
              <w:rPr>
                <w:rFonts w:ascii="Arial" w:hAnsi="Arial" w:cs="Arial"/>
                <w:b/>
                <w:bCs/>
                <w:sz w:val="24"/>
                <w:szCs w:val="24"/>
              </w:rPr>
            </w:pPr>
            <w:r w:rsidRPr="00995156">
              <w:rPr>
                <w:rFonts w:ascii="Arial" w:hAnsi="Arial" w:cs="Arial"/>
                <w:b/>
                <w:bCs/>
                <w:sz w:val="24"/>
                <w:szCs w:val="24"/>
              </w:rPr>
              <w:t>Tax</w:t>
            </w:r>
          </w:p>
          <w:p w:rsidR="00071D62" w:rsidRPr="00995156" w:rsidRDefault="00071D62" w:rsidP="00995156">
            <w:pPr>
              <w:jc w:val="right"/>
              <w:rPr>
                <w:rFonts w:ascii="Arial" w:hAnsi="Arial" w:cs="Arial"/>
                <w:b/>
                <w:bCs/>
                <w:sz w:val="24"/>
                <w:szCs w:val="24"/>
              </w:rPr>
            </w:pPr>
            <w:r w:rsidRPr="00995156">
              <w:rPr>
                <w:rFonts w:ascii="Arial" w:hAnsi="Arial" w:cs="Arial"/>
                <w:b/>
                <w:bCs/>
                <w:sz w:val="24"/>
                <w:szCs w:val="24"/>
              </w:rPr>
              <w:t>£m</w:t>
            </w:r>
          </w:p>
        </w:tc>
        <w:tc>
          <w:tcPr>
            <w:tcW w:w="1380" w:type="dxa"/>
            <w:tcBorders>
              <w:bottom w:val="single" w:sz="4" w:space="0" w:color="auto"/>
            </w:tcBorders>
          </w:tcPr>
          <w:p w:rsidR="00071D62" w:rsidRDefault="00071D62" w:rsidP="00995156">
            <w:pPr>
              <w:jc w:val="right"/>
              <w:rPr>
                <w:rFonts w:ascii="Arial" w:hAnsi="Arial" w:cs="Arial"/>
                <w:b/>
                <w:bCs/>
                <w:sz w:val="24"/>
                <w:szCs w:val="24"/>
              </w:rPr>
            </w:pPr>
            <w:r w:rsidRPr="00995156">
              <w:rPr>
                <w:rFonts w:ascii="Arial" w:hAnsi="Arial" w:cs="Arial"/>
                <w:b/>
                <w:bCs/>
                <w:sz w:val="24"/>
                <w:szCs w:val="24"/>
              </w:rPr>
              <w:t>Effective</w:t>
            </w:r>
          </w:p>
          <w:p w:rsidR="00071D62" w:rsidRPr="00995156" w:rsidRDefault="00071D62" w:rsidP="00995156">
            <w:pPr>
              <w:jc w:val="right"/>
              <w:rPr>
                <w:rFonts w:ascii="Arial" w:hAnsi="Arial" w:cs="Arial"/>
                <w:b/>
                <w:bCs/>
                <w:sz w:val="24"/>
                <w:szCs w:val="24"/>
              </w:rPr>
            </w:pPr>
            <w:r w:rsidRPr="00995156">
              <w:rPr>
                <w:rFonts w:ascii="Arial" w:hAnsi="Arial" w:cs="Arial"/>
                <w:b/>
                <w:bCs/>
                <w:sz w:val="24"/>
                <w:szCs w:val="24"/>
              </w:rPr>
              <w:t>rate %</w:t>
            </w:r>
          </w:p>
        </w:tc>
      </w:tr>
      <w:tr w:rsidR="00071D62" w:rsidRPr="00995156">
        <w:tc>
          <w:tcPr>
            <w:tcW w:w="5148" w:type="dxa"/>
            <w:tcBorders>
              <w:top w:val="single" w:sz="4" w:space="0" w:color="auto"/>
            </w:tcBorders>
          </w:tcPr>
          <w:p w:rsidR="00071D62" w:rsidRPr="00995156" w:rsidRDefault="00071D62" w:rsidP="004948B3">
            <w:pPr>
              <w:rPr>
                <w:rFonts w:ascii="Arial" w:hAnsi="Arial" w:cs="Arial"/>
                <w:sz w:val="24"/>
                <w:szCs w:val="24"/>
              </w:rPr>
            </w:pPr>
            <w:r w:rsidRPr="00995156">
              <w:rPr>
                <w:rFonts w:ascii="Arial" w:hAnsi="Arial" w:cs="Arial"/>
                <w:sz w:val="24"/>
                <w:szCs w:val="24"/>
              </w:rPr>
              <w:t>Profit before tax and tax thereon</w:t>
            </w:r>
          </w:p>
        </w:tc>
        <w:tc>
          <w:tcPr>
            <w:tcW w:w="1380" w:type="dxa"/>
            <w:tcBorders>
              <w:top w:val="single" w:sz="4" w:space="0" w:color="auto"/>
            </w:tcBorders>
          </w:tcPr>
          <w:p w:rsidR="00071D62" w:rsidRPr="00995156" w:rsidRDefault="00071D62" w:rsidP="00995156">
            <w:pPr>
              <w:jc w:val="right"/>
              <w:rPr>
                <w:rFonts w:ascii="Arial" w:hAnsi="Arial" w:cs="Arial"/>
                <w:sz w:val="24"/>
                <w:szCs w:val="24"/>
              </w:rPr>
            </w:pPr>
            <w:r w:rsidRPr="00995156">
              <w:rPr>
                <w:rFonts w:ascii="Arial" w:hAnsi="Arial" w:cs="Arial"/>
                <w:sz w:val="24"/>
                <w:szCs w:val="24"/>
              </w:rPr>
              <w:t>438</w:t>
            </w:r>
          </w:p>
        </w:tc>
        <w:tc>
          <w:tcPr>
            <w:tcW w:w="1380" w:type="dxa"/>
            <w:tcBorders>
              <w:top w:val="single" w:sz="4" w:space="0" w:color="auto"/>
            </w:tcBorders>
          </w:tcPr>
          <w:p w:rsidR="00071D62" w:rsidRPr="00995156" w:rsidRDefault="00071D62" w:rsidP="00995156">
            <w:pPr>
              <w:jc w:val="right"/>
              <w:rPr>
                <w:rFonts w:ascii="Arial" w:hAnsi="Arial" w:cs="Arial"/>
                <w:sz w:val="24"/>
                <w:szCs w:val="24"/>
              </w:rPr>
            </w:pPr>
            <w:r w:rsidRPr="00995156">
              <w:rPr>
                <w:rFonts w:ascii="Arial" w:hAnsi="Arial" w:cs="Arial"/>
                <w:sz w:val="24"/>
                <w:szCs w:val="24"/>
              </w:rPr>
              <w:t>118</w:t>
            </w:r>
          </w:p>
        </w:tc>
        <w:tc>
          <w:tcPr>
            <w:tcW w:w="1380" w:type="dxa"/>
            <w:tcBorders>
              <w:top w:val="single" w:sz="4" w:space="0" w:color="auto"/>
            </w:tcBorders>
          </w:tcPr>
          <w:p w:rsidR="00071D62" w:rsidRPr="00995156" w:rsidRDefault="00071D62" w:rsidP="00995156">
            <w:pPr>
              <w:jc w:val="right"/>
              <w:rPr>
                <w:rFonts w:ascii="Arial" w:hAnsi="Arial" w:cs="Arial"/>
                <w:sz w:val="24"/>
                <w:szCs w:val="24"/>
              </w:rPr>
            </w:pPr>
            <w:r w:rsidRPr="00995156">
              <w:rPr>
                <w:rFonts w:ascii="Arial" w:hAnsi="Arial" w:cs="Arial"/>
                <w:sz w:val="24"/>
                <w:szCs w:val="24"/>
              </w:rPr>
              <w:t>27</w:t>
            </w:r>
          </w:p>
        </w:tc>
      </w:tr>
      <w:tr w:rsidR="00071D62" w:rsidRPr="00995156">
        <w:tc>
          <w:tcPr>
            <w:tcW w:w="5148" w:type="dxa"/>
          </w:tcPr>
          <w:p w:rsidR="00071D62" w:rsidRPr="00995156" w:rsidRDefault="00071D62" w:rsidP="004948B3">
            <w:pPr>
              <w:rPr>
                <w:rFonts w:ascii="Arial" w:hAnsi="Arial" w:cs="Arial"/>
                <w:sz w:val="24"/>
                <w:szCs w:val="24"/>
              </w:rPr>
            </w:pPr>
            <w:r>
              <w:rPr>
                <w:rFonts w:ascii="Arial" w:hAnsi="Arial" w:cs="Arial"/>
                <w:sz w:val="24"/>
                <w:szCs w:val="24"/>
              </w:rPr>
              <w:t>Adjusted for prior year tax and rate changes</w:t>
            </w:r>
          </w:p>
        </w:tc>
        <w:tc>
          <w:tcPr>
            <w:tcW w:w="1380" w:type="dxa"/>
          </w:tcPr>
          <w:p w:rsidR="00071D62" w:rsidRPr="00995156" w:rsidRDefault="00071D62" w:rsidP="00995156">
            <w:pPr>
              <w:jc w:val="right"/>
              <w:rPr>
                <w:rFonts w:ascii="Arial" w:hAnsi="Arial" w:cs="Arial"/>
                <w:sz w:val="24"/>
                <w:szCs w:val="24"/>
              </w:rPr>
            </w:pPr>
          </w:p>
        </w:tc>
        <w:tc>
          <w:tcPr>
            <w:tcW w:w="1380" w:type="dxa"/>
          </w:tcPr>
          <w:p w:rsidR="00071D62" w:rsidRPr="00995156" w:rsidRDefault="00071D62" w:rsidP="00995156">
            <w:pPr>
              <w:jc w:val="right"/>
              <w:rPr>
                <w:rFonts w:ascii="Arial" w:hAnsi="Arial" w:cs="Arial"/>
                <w:sz w:val="24"/>
                <w:szCs w:val="24"/>
              </w:rPr>
            </w:pPr>
            <w:r w:rsidRPr="00995156">
              <w:rPr>
                <w:rFonts w:ascii="Arial" w:hAnsi="Arial" w:cs="Arial"/>
                <w:sz w:val="24"/>
                <w:szCs w:val="24"/>
              </w:rPr>
              <w:t>6</w:t>
            </w:r>
          </w:p>
        </w:tc>
        <w:tc>
          <w:tcPr>
            <w:tcW w:w="1380" w:type="dxa"/>
          </w:tcPr>
          <w:p w:rsidR="00071D62" w:rsidRPr="00995156" w:rsidRDefault="00071D62" w:rsidP="00995156">
            <w:pPr>
              <w:jc w:val="right"/>
              <w:rPr>
                <w:rFonts w:ascii="Arial" w:hAnsi="Arial" w:cs="Arial"/>
                <w:sz w:val="24"/>
                <w:szCs w:val="24"/>
              </w:rPr>
            </w:pPr>
          </w:p>
        </w:tc>
      </w:tr>
      <w:tr w:rsidR="00071D62" w:rsidRPr="00995156">
        <w:tc>
          <w:tcPr>
            <w:tcW w:w="5148" w:type="dxa"/>
            <w:tcBorders>
              <w:bottom w:val="single" w:sz="4" w:space="0" w:color="auto"/>
            </w:tcBorders>
          </w:tcPr>
          <w:p w:rsidR="00071D62" w:rsidRPr="003305F3" w:rsidRDefault="00071D62" w:rsidP="004948B3">
            <w:pPr>
              <w:rPr>
                <w:rFonts w:ascii="Arial" w:hAnsi="Arial" w:cs="Arial"/>
                <w:b/>
                <w:bCs/>
                <w:sz w:val="24"/>
                <w:szCs w:val="24"/>
              </w:rPr>
            </w:pPr>
            <w:r w:rsidRPr="001E35B4">
              <w:rPr>
                <w:rFonts w:ascii="Arial" w:hAnsi="Arial" w:cs="Arial"/>
                <w:b/>
                <w:bCs/>
                <w:sz w:val="24"/>
                <w:szCs w:val="24"/>
              </w:rPr>
              <w:t>Total – adjusted</w:t>
            </w:r>
          </w:p>
        </w:tc>
        <w:tc>
          <w:tcPr>
            <w:tcW w:w="1380" w:type="dxa"/>
            <w:tcBorders>
              <w:bottom w:val="single" w:sz="4" w:space="0" w:color="auto"/>
            </w:tcBorders>
          </w:tcPr>
          <w:p w:rsidR="00071D62" w:rsidRPr="00995156" w:rsidRDefault="00071D62" w:rsidP="00995156">
            <w:pPr>
              <w:jc w:val="right"/>
              <w:rPr>
                <w:rFonts w:ascii="Arial" w:hAnsi="Arial" w:cs="Arial"/>
                <w:sz w:val="24"/>
                <w:szCs w:val="24"/>
              </w:rPr>
            </w:pPr>
            <w:r w:rsidRPr="00995156">
              <w:rPr>
                <w:rFonts w:ascii="Arial" w:hAnsi="Arial" w:cs="Arial"/>
                <w:sz w:val="24"/>
                <w:szCs w:val="24"/>
              </w:rPr>
              <w:t>438</w:t>
            </w:r>
          </w:p>
        </w:tc>
        <w:tc>
          <w:tcPr>
            <w:tcW w:w="1380" w:type="dxa"/>
            <w:tcBorders>
              <w:bottom w:val="single" w:sz="4" w:space="0" w:color="auto"/>
            </w:tcBorders>
          </w:tcPr>
          <w:p w:rsidR="00071D62" w:rsidRPr="00995156" w:rsidRDefault="00071D62" w:rsidP="00995156">
            <w:pPr>
              <w:jc w:val="right"/>
              <w:rPr>
                <w:rFonts w:ascii="Arial" w:hAnsi="Arial" w:cs="Arial"/>
                <w:sz w:val="24"/>
                <w:szCs w:val="24"/>
              </w:rPr>
            </w:pPr>
            <w:r w:rsidRPr="00995156">
              <w:rPr>
                <w:rFonts w:ascii="Arial" w:hAnsi="Arial" w:cs="Arial"/>
                <w:sz w:val="24"/>
                <w:szCs w:val="24"/>
              </w:rPr>
              <w:t>124</w:t>
            </w:r>
          </w:p>
        </w:tc>
        <w:tc>
          <w:tcPr>
            <w:tcW w:w="1380" w:type="dxa"/>
            <w:tcBorders>
              <w:bottom w:val="single" w:sz="4" w:space="0" w:color="auto"/>
            </w:tcBorders>
          </w:tcPr>
          <w:p w:rsidR="00071D62" w:rsidRPr="00995156" w:rsidRDefault="00071D62" w:rsidP="00995156">
            <w:pPr>
              <w:jc w:val="right"/>
              <w:rPr>
                <w:rFonts w:ascii="Arial" w:hAnsi="Arial" w:cs="Arial"/>
                <w:sz w:val="24"/>
                <w:szCs w:val="24"/>
              </w:rPr>
            </w:pPr>
            <w:r w:rsidRPr="00995156">
              <w:rPr>
                <w:rFonts w:ascii="Arial" w:hAnsi="Arial" w:cs="Arial"/>
                <w:sz w:val="24"/>
                <w:szCs w:val="24"/>
              </w:rPr>
              <w:t>28</w:t>
            </w:r>
          </w:p>
        </w:tc>
      </w:tr>
    </w:tbl>
    <w:p w:rsidR="00071D62" w:rsidRDefault="00071D62" w:rsidP="00995156">
      <w:pPr>
        <w:ind w:right="-368"/>
        <w:jc w:val="left"/>
        <w:rPr>
          <w:rFonts w:ascii="Arial" w:hAnsi="Arial" w:cs="Arial"/>
          <w:b/>
          <w:bCs/>
          <w:sz w:val="24"/>
          <w:szCs w:val="24"/>
        </w:rPr>
      </w:pPr>
    </w:p>
    <w:p w:rsidR="00071D62" w:rsidRDefault="00071D62" w:rsidP="00995156">
      <w:pPr>
        <w:jc w:val="left"/>
        <w:rPr>
          <w:rFonts w:ascii="Arial" w:hAnsi="Arial" w:cs="Arial"/>
          <w:b/>
          <w:bCs/>
          <w:sz w:val="24"/>
          <w:szCs w:val="24"/>
        </w:rPr>
      </w:pPr>
      <w:r>
        <w:rPr>
          <w:rFonts w:ascii="Arial" w:hAnsi="Arial" w:cs="Arial"/>
          <w:sz w:val="24"/>
          <w:szCs w:val="24"/>
        </w:rPr>
        <w:t>The Group’s</w:t>
      </w:r>
      <w:r w:rsidRPr="00700E2D">
        <w:rPr>
          <w:rFonts w:ascii="Arial" w:hAnsi="Arial" w:cs="Arial"/>
          <w:sz w:val="24"/>
          <w:szCs w:val="24"/>
        </w:rPr>
        <w:t xml:space="preserve"> effective tax rate is sensitive to the blend of tax rates and profits in the</w:t>
      </w:r>
      <w:r>
        <w:rPr>
          <w:rFonts w:ascii="Arial" w:hAnsi="Arial" w:cs="Arial"/>
          <w:sz w:val="24"/>
          <w:szCs w:val="24"/>
        </w:rPr>
        <w:t xml:space="preserve"> Group’s various jurisdictions.</w:t>
      </w:r>
      <w:r w:rsidRPr="00700E2D">
        <w:rPr>
          <w:rFonts w:ascii="Arial" w:hAnsi="Arial" w:cs="Arial"/>
          <w:sz w:val="24"/>
          <w:szCs w:val="24"/>
        </w:rPr>
        <w:t xml:space="preserve"> Whilst we will continue to plan our tax affairs efficiently and adopt a prudent approach towards providing for uncertain tax positions we are aware that </w:t>
      </w:r>
      <w:r>
        <w:rPr>
          <w:rFonts w:ascii="Arial" w:hAnsi="Arial" w:cs="Arial"/>
          <w:sz w:val="24"/>
          <w:szCs w:val="24"/>
        </w:rPr>
        <w:t>with pressure on government finances</w:t>
      </w:r>
      <w:r w:rsidRPr="00700E2D">
        <w:rPr>
          <w:rFonts w:ascii="Arial" w:hAnsi="Arial" w:cs="Arial"/>
          <w:sz w:val="24"/>
          <w:szCs w:val="24"/>
        </w:rPr>
        <w:t xml:space="preserve"> the tax cost of multinationals </w:t>
      </w:r>
      <w:r>
        <w:rPr>
          <w:rFonts w:ascii="Arial" w:hAnsi="Arial" w:cs="Arial"/>
          <w:sz w:val="24"/>
          <w:szCs w:val="24"/>
        </w:rPr>
        <w:t>may</w:t>
      </w:r>
      <w:r w:rsidRPr="00700E2D">
        <w:rPr>
          <w:rFonts w:ascii="Arial" w:hAnsi="Arial" w:cs="Arial"/>
          <w:sz w:val="24"/>
          <w:szCs w:val="24"/>
        </w:rPr>
        <w:t xml:space="preserve"> increase over time.</w:t>
      </w:r>
    </w:p>
    <w:p w:rsidR="00071D62" w:rsidRDefault="00071D62" w:rsidP="00995156">
      <w:pPr>
        <w:ind w:right="-368"/>
        <w:jc w:val="left"/>
        <w:rPr>
          <w:rFonts w:ascii="Arial" w:hAnsi="Arial" w:cs="Arial"/>
          <w:b/>
          <w:bCs/>
          <w:sz w:val="24"/>
          <w:szCs w:val="24"/>
          <w:highlight w:val="yellow"/>
        </w:rPr>
      </w:pPr>
    </w:p>
    <w:p w:rsidR="00071D62" w:rsidRDefault="00071D62" w:rsidP="00995156">
      <w:pPr>
        <w:jc w:val="left"/>
        <w:rPr>
          <w:rFonts w:ascii="Arial" w:hAnsi="Arial" w:cs="Arial"/>
          <w:sz w:val="24"/>
          <w:szCs w:val="24"/>
        </w:rPr>
      </w:pPr>
      <w:r w:rsidRPr="00E530B3">
        <w:rPr>
          <w:rFonts w:ascii="Arial" w:hAnsi="Arial" w:cs="Arial"/>
          <w:b/>
          <w:bCs/>
          <w:sz w:val="24"/>
          <w:szCs w:val="24"/>
        </w:rPr>
        <w:t>Exceptional items</w:t>
      </w:r>
    </w:p>
    <w:p w:rsidR="00071D62" w:rsidRDefault="00071D62" w:rsidP="00995156">
      <w:pPr>
        <w:jc w:val="left"/>
        <w:rPr>
          <w:rFonts w:ascii="Arial" w:hAnsi="Arial" w:cs="Arial"/>
          <w:sz w:val="24"/>
          <w:szCs w:val="24"/>
        </w:rPr>
      </w:pPr>
      <w:r>
        <w:rPr>
          <w:rFonts w:ascii="Arial" w:hAnsi="Arial" w:cs="Arial"/>
          <w:sz w:val="24"/>
          <w:szCs w:val="24"/>
        </w:rPr>
        <w:t>Exceptional items are a net £nil post tax charge in the first half (2010/11: charge of £3 million). This comprises a £2 million exceptional credit for the release of the UK restructuring provision</w:t>
      </w:r>
      <w:r w:rsidDel="004310C2">
        <w:rPr>
          <w:rFonts w:ascii="Arial" w:hAnsi="Arial" w:cs="Arial"/>
          <w:sz w:val="24"/>
          <w:szCs w:val="24"/>
        </w:rPr>
        <w:t xml:space="preserve"> </w:t>
      </w:r>
      <w:r>
        <w:rPr>
          <w:rFonts w:ascii="Arial" w:hAnsi="Arial" w:cs="Arial"/>
          <w:sz w:val="24"/>
          <w:szCs w:val="24"/>
        </w:rPr>
        <w:t>following the exit of an idle store offset by a £2 million exceptional cost incurred starting the integration of ex-Focus DIYstores into the B&amp;Q UK store network. We anticipate the full exceptional integration cost will be £13 million, all of which will be charged in this financial year (H1 £2 million, H2 £11 million).</w:t>
      </w:r>
    </w:p>
    <w:p w:rsidR="00071D62" w:rsidRDefault="00071D62" w:rsidP="00995156">
      <w:pPr>
        <w:jc w:val="left"/>
        <w:rPr>
          <w:rFonts w:ascii="Arial" w:hAnsi="Arial" w:cs="Arial"/>
          <w:b/>
          <w:bCs/>
          <w:sz w:val="24"/>
          <w:szCs w:val="24"/>
        </w:rPr>
      </w:pPr>
      <w:r>
        <w:rPr>
          <w:rFonts w:ascii="Arial" w:hAnsi="Arial" w:cs="Arial"/>
          <w:b/>
          <w:bCs/>
          <w:sz w:val="24"/>
          <w:szCs w:val="24"/>
        </w:rPr>
        <w:br w:type="page"/>
      </w:r>
      <w:r w:rsidRPr="00E530B3">
        <w:rPr>
          <w:rFonts w:ascii="Arial" w:hAnsi="Arial" w:cs="Arial"/>
          <w:b/>
          <w:bCs/>
          <w:sz w:val="24"/>
          <w:szCs w:val="24"/>
        </w:rPr>
        <w:lastRenderedPageBreak/>
        <w:t>Earnings per share</w:t>
      </w:r>
    </w:p>
    <w:p w:rsidR="00071D62" w:rsidRPr="00E530B3" w:rsidRDefault="00071D62" w:rsidP="00995156">
      <w:pPr>
        <w:jc w:val="left"/>
        <w:rPr>
          <w:rFonts w:ascii="Arial" w:hAnsi="Arial" w:cs="Arial"/>
          <w:b/>
          <w:bCs/>
          <w:sz w:val="24"/>
          <w:szCs w:val="24"/>
        </w:rPr>
      </w:pPr>
      <w:r>
        <w:rPr>
          <w:rFonts w:ascii="Arial" w:hAnsi="Arial" w:cs="Arial"/>
          <w:sz w:val="24"/>
          <w:szCs w:val="24"/>
        </w:rPr>
        <w:t xml:space="preserve">Basic earnings per share have increased by 29.2% to 13.7p (2010/11: 10.6p). </w:t>
      </w:r>
      <w:r w:rsidRPr="00D712EF">
        <w:rPr>
          <w:rFonts w:ascii="Arial" w:hAnsi="Arial" w:cs="Arial"/>
          <w:sz w:val="24"/>
          <w:szCs w:val="24"/>
        </w:rPr>
        <w:t>On a</w:t>
      </w:r>
      <w:r>
        <w:rPr>
          <w:rFonts w:ascii="Arial" w:hAnsi="Arial" w:cs="Arial"/>
          <w:sz w:val="24"/>
          <w:szCs w:val="24"/>
        </w:rPr>
        <w:t xml:space="preserve"> more comparable basis, removing the impact of exceptional items, prior year tax items and financing fair value </w:t>
      </w:r>
      <w:r w:rsidRPr="00BA672A">
        <w:rPr>
          <w:rFonts w:ascii="Arial" w:hAnsi="Arial" w:cs="Arial"/>
          <w:sz w:val="24"/>
          <w:szCs w:val="24"/>
        </w:rPr>
        <w:t xml:space="preserve">remeasurements, adjusted basic earnings per share have increased by </w:t>
      </w:r>
      <w:r>
        <w:rPr>
          <w:rFonts w:ascii="Arial" w:hAnsi="Arial" w:cs="Arial"/>
          <w:sz w:val="24"/>
          <w:szCs w:val="24"/>
        </w:rPr>
        <w:t>27.4% to 13.</w:t>
      </w:r>
      <w:r w:rsidRPr="00BA672A">
        <w:rPr>
          <w:rFonts w:ascii="Arial" w:hAnsi="Arial" w:cs="Arial"/>
          <w:sz w:val="24"/>
          <w:szCs w:val="24"/>
        </w:rPr>
        <w:t>5p</w:t>
      </w:r>
      <w:r>
        <w:rPr>
          <w:rFonts w:ascii="Arial" w:hAnsi="Arial" w:cs="Arial"/>
          <w:sz w:val="24"/>
          <w:szCs w:val="24"/>
        </w:rPr>
        <w:t xml:space="preserve"> (2010/11: 10.6p)</w:t>
      </w:r>
      <w:r w:rsidRPr="00BA672A">
        <w:rPr>
          <w:rFonts w:ascii="Arial" w:hAnsi="Arial" w:cs="Arial"/>
          <w:sz w:val="24"/>
          <w:szCs w:val="24"/>
        </w:rPr>
        <w:t>.</w:t>
      </w:r>
    </w:p>
    <w:tbl>
      <w:tblPr>
        <w:tblW w:w="4926" w:type="pct"/>
        <w:tblInd w:w="2" w:type="dxa"/>
        <w:tblLook w:val="01E0"/>
      </w:tblPr>
      <w:tblGrid>
        <w:gridCol w:w="6102"/>
        <w:gridCol w:w="1880"/>
        <w:gridCol w:w="1729"/>
      </w:tblGrid>
      <w:tr w:rsidR="00071D62" w:rsidRPr="00995156">
        <w:tc>
          <w:tcPr>
            <w:tcW w:w="3142" w:type="pct"/>
            <w:tcBorders>
              <w:bottom w:val="single" w:sz="4" w:space="0" w:color="auto"/>
            </w:tcBorders>
          </w:tcPr>
          <w:p w:rsidR="00071D62" w:rsidRPr="00995156" w:rsidRDefault="00071D62" w:rsidP="004948B3">
            <w:pPr>
              <w:rPr>
                <w:rFonts w:ascii="Arial" w:hAnsi="Arial" w:cs="Arial"/>
                <w:sz w:val="24"/>
                <w:szCs w:val="24"/>
              </w:rPr>
            </w:pPr>
          </w:p>
        </w:tc>
        <w:tc>
          <w:tcPr>
            <w:tcW w:w="968" w:type="pct"/>
            <w:tcBorders>
              <w:bottom w:val="single" w:sz="4" w:space="0" w:color="auto"/>
            </w:tcBorders>
          </w:tcPr>
          <w:p w:rsidR="00071D62" w:rsidRPr="00995156" w:rsidRDefault="00071D62" w:rsidP="00995156">
            <w:pPr>
              <w:jc w:val="right"/>
              <w:rPr>
                <w:rFonts w:ascii="Arial" w:hAnsi="Arial" w:cs="Arial"/>
                <w:b/>
                <w:bCs/>
                <w:sz w:val="24"/>
                <w:szCs w:val="24"/>
              </w:rPr>
            </w:pPr>
            <w:r w:rsidRPr="00995156">
              <w:rPr>
                <w:rFonts w:ascii="Arial" w:hAnsi="Arial" w:cs="Arial"/>
                <w:b/>
                <w:bCs/>
                <w:sz w:val="24"/>
                <w:szCs w:val="24"/>
              </w:rPr>
              <w:t>2011/12</w:t>
            </w:r>
          </w:p>
        </w:tc>
        <w:tc>
          <w:tcPr>
            <w:tcW w:w="890" w:type="pct"/>
            <w:tcBorders>
              <w:bottom w:val="single" w:sz="4" w:space="0" w:color="auto"/>
            </w:tcBorders>
          </w:tcPr>
          <w:p w:rsidR="00071D62" w:rsidRPr="00995156" w:rsidRDefault="00071D62" w:rsidP="00995156">
            <w:pPr>
              <w:jc w:val="right"/>
              <w:rPr>
                <w:rFonts w:ascii="Arial" w:hAnsi="Arial" w:cs="Arial"/>
                <w:sz w:val="24"/>
                <w:szCs w:val="24"/>
              </w:rPr>
            </w:pPr>
            <w:r w:rsidRPr="00995156">
              <w:rPr>
                <w:rFonts w:ascii="Arial" w:hAnsi="Arial" w:cs="Arial"/>
                <w:sz w:val="24"/>
                <w:szCs w:val="24"/>
              </w:rPr>
              <w:t>2010/11</w:t>
            </w:r>
          </w:p>
        </w:tc>
      </w:tr>
      <w:tr w:rsidR="00071D62" w:rsidRPr="00995156">
        <w:tc>
          <w:tcPr>
            <w:tcW w:w="3142" w:type="pct"/>
            <w:tcBorders>
              <w:top w:val="single" w:sz="4" w:space="0" w:color="auto"/>
            </w:tcBorders>
          </w:tcPr>
          <w:p w:rsidR="00071D62" w:rsidRPr="00995156" w:rsidRDefault="00071D62" w:rsidP="004948B3">
            <w:pPr>
              <w:rPr>
                <w:rFonts w:ascii="Arial" w:hAnsi="Arial" w:cs="Arial"/>
                <w:sz w:val="24"/>
                <w:szCs w:val="24"/>
              </w:rPr>
            </w:pPr>
            <w:r w:rsidRPr="00995156">
              <w:rPr>
                <w:rFonts w:ascii="Arial" w:hAnsi="Arial" w:cs="Arial"/>
                <w:sz w:val="24"/>
                <w:szCs w:val="24"/>
              </w:rPr>
              <w:t>Basic earnings per share</w:t>
            </w:r>
          </w:p>
        </w:tc>
        <w:tc>
          <w:tcPr>
            <w:tcW w:w="968" w:type="pct"/>
            <w:tcBorders>
              <w:top w:val="single" w:sz="4" w:space="0" w:color="auto"/>
            </w:tcBorders>
          </w:tcPr>
          <w:p w:rsidR="00071D62" w:rsidRPr="00995156" w:rsidRDefault="00071D62" w:rsidP="00995156">
            <w:pPr>
              <w:jc w:val="right"/>
              <w:rPr>
                <w:rFonts w:ascii="Arial" w:hAnsi="Arial" w:cs="Arial"/>
                <w:b/>
                <w:bCs/>
                <w:sz w:val="24"/>
                <w:szCs w:val="24"/>
              </w:rPr>
            </w:pPr>
            <w:r w:rsidRPr="00995156">
              <w:rPr>
                <w:rFonts w:ascii="Arial" w:hAnsi="Arial" w:cs="Arial"/>
                <w:b/>
                <w:bCs/>
                <w:sz w:val="24"/>
                <w:szCs w:val="24"/>
              </w:rPr>
              <w:t>13.7p</w:t>
            </w:r>
          </w:p>
        </w:tc>
        <w:tc>
          <w:tcPr>
            <w:tcW w:w="890" w:type="pct"/>
            <w:tcBorders>
              <w:top w:val="single" w:sz="4" w:space="0" w:color="auto"/>
            </w:tcBorders>
          </w:tcPr>
          <w:p w:rsidR="00071D62" w:rsidRPr="00995156" w:rsidRDefault="00071D62" w:rsidP="00995156">
            <w:pPr>
              <w:jc w:val="right"/>
              <w:rPr>
                <w:rFonts w:ascii="Arial" w:hAnsi="Arial" w:cs="Arial"/>
                <w:sz w:val="24"/>
                <w:szCs w:val="24"/>
              </w:rPr>
            </w:pPr>
            <w:r w:rsidRPr="00995156">
              <w:rPr>
                <w:rFonts w:ascii="Arial" w:hAnsi="Arial" w:cs="Arial"/>
                <w:sz w:val="24"/>
                <w:szCs w:val="24"/>
              </w:rPr>
              <w:t>10.6p</w:t>
            </w:r>
          </w:p>
        </w:tc>
      </w:tr>
      <w:tr w:rsidR="00071D62" w:rsidRPr="00995156">
        <w:tc>
          <w:tcPr>
            <w:tcW w:w="3142" w:type="pct"/>
          </w:tcPr>
          <w:p w:rsidR="00071D62" w:rsidRPr="00995156" w:rsidRDefault="00071D62" w:rsidP="004948B3">
            <w:pPr>
              <w:rPr>
                <w:rFonts w:ascii="Arial" w:hAnsi="Arial" w:cs="Arial"/>
                <w:sz w:val="24"/>
                <w:szCs w:val="24"/>
              </w:rPr>
            </w:pPr>
            <w:r w:rsidRPr="00995156">
              <w:rPr>
                <w:rFonts w:ascii="Arial" w:hAnsi="Arial" w:cs="Arial"/>
                <w:sz w:val="24"/>
                <w:szCs w:val="24"/>
              </w:rPr>
              <w:t>Exceptional items</w:t>
            </w:r>
          </w:p>
        </w:tc>
        <w:tc>
          <w:tcPr>
            <w:tcW w:w="968" w:type="pct"/>
          </w:tcPr>
          <w:p w:rsidR="00071D62" w:rsidRPr="00995156" w:rsidRDefault="00071D62" w:rsidP="00995156">
            <w:pPr>
              <w:jc w:val="right"/>
              <w:rPr>
                <w:rFonts w:ascii="Arial" w:hAnsi="Arial" w:cs="Arial"/>
                <w:b/>
                <w:bCs/>
                <w:sz w:val="24"/>
                <w:szCs w:val="24"/>
              </w:rPr>
            </w:pPr>
            <w:r w:rsidRPr="00995156">
              <w:rPr>
                <w:rFonts w:ascii="Arial" w:hAnsi="Arial" w:cs="Arial"/>
                <w:b/>
                <w:bCs/>
                <w:sz w:val="24"/>
                <w:szCs w:val="24"/>
              </w:rPr>
              <w:t>-</w:t>
            </w:r>
          </w:p>
        </w:tc>
        <w:tc>
          <w:tcPr>
            <w:tcW w:w="890" w:type="pct"/>
          </w:tcPr>
          <w:p w:rsidR="00071D62" w:rsidRPr="00995156" w:rsidRDefault="00071D62" w:rsidP="00995156">
            <w:pPr>
              <w:jc w:val="right"/>
              <w:rPr>
                <w:rFonts w:ascii="Arial" w:hAnsi="Arial" w:cs="Arial"/>
                <w:sz w:val="24"/>
                <w:szCs w:val="24"/>
              </w:rPr>
            </w:pPr>
            <w:r w:rsidRPr="00995156">
              <w:rPr>
                <w:rFonts w:ascii="Arial" w:hAnsi="Arial" w:cs="Arial"/>
                <w:sz w:val="24"/>
                <w:szCs w:val="24"/>
              </w:rPr>
              <w:t>0.3p</w:t>
            </w:r>
          </w:p>
        </w:tc>
      </w:tr>
      <w:tr w:rsidR="00071D62" w:rsidRPr="00995156">
        <w:tc>
          <w:tcPr>
            <w:tcW w:w="3142" w:type="pct"/>
            <w:vAlign w:val="bottom"/>
          </w:tcPr>
          <w:p w:rsidR="00071D62" w:rsidRPr="00995156" w:rsidRDefault="00071D62" w:rsidP="00995156">
            <w:pPr>
              <w:jc w:val="left"/>
              <w:rPr>
                <w:rFonts w:ascii="Arial" w:hAnsi="Arial" w:cs="Arial"/>
                <w:sz w:val="24"/>
                <w:szCs w:val="24"/>
              </w:rPr>
            </w:pPr>
            <w:r w:rsidRPr="00995156">
              <w:rPr>
                <w:rFonts w:ascii="Arial" w:hAnsi="Arial" w:cs="Arial"/>
                <w:sz w:val="24"/>
                <w:szCs w:val="24"/>
              </w:rPr>
              <w:t>Tax on exceptional and prior year items</w:t>
            </w:r>
          </w:p>
        </w:tc>
        <w:tc>
          <w:tcPr>
            <w:tcW w:w="968" w:type="pct"/>
            <w:vAlign w:val="bottom"/>
          </w:tcPr>
          <w:p w:rsidR="00071D62" w:rsidRPr="00995156" w:rsidRDefault="00071D62" w:rsidP="00995156">
            <w:pPr>
              <w:jc w:val="right"/>
              <w:rPr>
                <w:rFonts w:ascii="Arial" w:hAnsi="Arial" w:cs="Arial"/>
                <w:b/>
                <w:bCs/>
                <w:sz w:val="24"/>
                <w:szCs w:val="24"/>
              </w:rPr>
            </w:pPr>
            <w:r w:rsidRPr="00995156">
              <w:rPr>
                <w:rFonts w:ascii="Arial" w:hAnsi="Arial" w:cs="Arial"/>
                <w:b/>
                <w:bCs/>
                <w:sz w:val="24"/>
                <w:szCs w:val="24"/>
              </w:rPr>
              <w:t>(0.</w:t>
            </w:r>
            <w:r>
              <w:rPr>
                <w:rFonts w:ascii="Arial" w:hAnsi="Arial" w:cs="Arial"/>
                <w:b/>
                <w:bCs/>
                <w:sz w:val="24"/>
                <w:szCs w:val="24"/>
              </w:rPr>
              <w:t>3</w:t>
            </w:r>
            <w:r w:rsidRPr="00995156">
              <w:rPr>
                <w:rFonts w:ascii="Arial" w:hAnsi="Arial" w:cs="Arial"/>
                <w:b/>
                <w:bCs/>
                <w:sz w:val="24"/>
                <w:szCs w:val="24"/>
              </w:rPr>
              <w:t>)p</w:t>
            </w:r>
          </w:p>
        </w:tc>
        <w:tc>
          <w:tcPr>
            <w:tcW w:w="890" w:type="pct"/>
            <w:vAlign w:val="bottom"/>
          </w:tcPr>
          <w:p w:rsidR="00071D62" w:rsidRPr="00995156" w:rsidRDefault="00071D62" w:rsidP="00995156">
            <w:pPr>
              <w:jc w:val="right"/>
              <w:rPr>
                <w:rFonts w:ascii="Arial" w:hAnsi="Arial" w:cs="Arial"/>
                <w:sz w:val="24"/>
                <w:szCs w:val="24"/>
              </w:rPr>
            </w:pPr>
            <w:r w:rsidRPr="00995156">
              <w:rPr>
                <w:rFonts w:ascii="Arial" w:hAnsi="Arial" w:cs="Arial"/>
                <w:sz w:val="24"/>
                <w:szCs w:val="24"/>
              </w:rPr>
              <w:t>(0.2)p</w:t>
            </w:r>
          </w:p>
        </w:tc>
      </w:tr>
      <w:tr w:rsidR="00071D62" w:rsidRPr="00995156">
        <w:tc>
          <w:tcPr>
            <w:tcW w:w="3142" w:type="pct"/>
          </w:tcPr>
          <w:p w:rsidR="00071D62" w:rsidRPr="00995156" w:rsidRDefault="00071D62" w:rsidP="004948B3">
            <w:pPr>
              <w:rPr>
                <w:rFonts w:ascii="Arial" w:hAnsi="Arial" w:cs="Arial"/>
                <w:sz w:val="24"/>
                <w:szCs w:val="24"/>
              </w:rPr>
            </w:pPr>
            <w:r w:rsidRPr="00995156">
              <w:rPr>
                <w:rFonts w:ascii="Arial" w:hAnsi="Arial" w:cs="Arial"/>
                <w:sz w:val="24"/>
                <w:szCs w:val="24"/>
              </w:rPr>
              <w:t>Financing fair value remeasurements (net of tax)</w:t>
            </w:r>
          </w:p>
        </w:tc>
        <w:tc>
          <w:tcPr>
            <w:tcW w:w="968" w:type="pct"/>
          </w:tcPr>
          <w:p w:rsidR="00071D62" w:rsidRPr="00995156" w:rsidRDefault="00071D62" w:rsidP="00995156">
            <w:pPr>
              <w:jc w:val="right"/>
              <w:rPr>
                <w:rFonts w:ascii="Arial" w:hAnsi="Arial" w:cs="Arial"/>
                <w:b/>
                <w:bCs/>
                <w:sz w:val="24"/>
                <w:szCs w:val="24"/>
              </w:rPr>
            </w:pPr>
            <w:r>
              <w:rPr>
                <w:rFonts w:ascii="Arial" w:hAnsi="Arial" w:cs="Arial"/>
                <w:b/>
                <w:bCs/>
                <w:sz w:val="24"/>
                <w:szCs w:val="24"/>
              </w:rPr>
              <w:t>0.1p</w:t>
            </w:r>
          </w:p>
        </w:tc>
        <w:tc>
          <w:tcPr>
            <w:tcW w:w="890" w:type="pct"/>
          </w:tcPr>
          <w:p w:rsidR="00071D62" w:rsidRPr="00995156" w:rsidRDefault="00071D62" w:rsidP="00995156">
            <w:pPr>
              <w:jc w:val="right"/>
              <w:rPr>
                <w:rFonts w:ascii="Arial" w:hAnsi="Arial" w:cs="Arial"/>
                <w:sz w:val="24"/>
                <w:szCs w:val="24"/>
              </w:rPr>
            </w:pPr>
            <w:r w:rsidRPr="00995156">
              <w:rPr>
                <w:rFonts w:ascii="Arial" w:hAnsi="Arial" w:cs="Arial"/>
                <w:sz w:val="24"/>
                <w:szCs w:val="24"/>
              </w:rPr>
              <w:t>(0.1)p</w:t>
            </w:r>
          </w:p>
        </w:tc>
      </w:tr>
      <w:tr w:rsidR="00071D62" w:rsidRPr="00995156">
        <w:trPr>
          <w:trHeight w:val="70"/>
        </w:trPr>
        <w:tc>
          <w:tcPr>
            <w:tcW w:w="3142" w:type="pct"/>
            <w:tcBorders>
              <w:top w:val="single" w:sz="4" w:space="0" w:color="auto"/>
              <w:bottom w:val="single" w:sz="4" w:space="0" w:color="auto"/>
            </w:tcBorders>
          </w:tcPr>
          <w:p w:rsidR="00071D62" w:rsidRPr="003305F3" w:rsidRDefault="00071D62" w:rsidP="004948B3">
            <w:pPr>
              <w:rPr>
                <w:rFonts w:ascii="Arial" w:hAnsi="Arial" w:cs="Arial"/>
                <w:b/>
                <w:bCs/>
                <w:sz w:val="24"/>
                <w:szCs w:val="24"/>
              </w:rPr>
            </w:pPr>
            <w:r w:rsidRPr="001E35B4">
              <w:rPr>
                <w:rFonts w:ascii="Arial" w:hAnsi="Arial" w:cs="Arial"/>
                <w:b/>
                <w:bCs/>
                <w:sz w:val="24"/>
                <w:szCs w:val="24"/>
              </w:rPr>
              <w:t>Adjusted earnings per share</w:t>
            </w:r>
          </w:p>
        </w:tc>
        <w:tc>
          <w:tcPr>
            <w:tcW w:w="968" w:type="pct"/>
            <w:tcBorders>
              <w:top w:val="single" w:sz="4" w:space="0" w:color="auto"/>
              <w:bottom w:val="single" w:sz="4" w:space="0" w:color="auto"/>
            </w:tcBorders>
          </w:tcPr>
          <w:p w:rsidR="00071D62" w:rsidRPr="00995156" w:rsidRDefault="00071D62" w:rsidP="00995156">
            <w:pPr>
              <w:jc w:val="right"/>
              <w:rPr>
                <w:rFonts w:ascii="Arial" w:hAnsi="Arial" w:cs="Arial"/>
                <w:b/>
                <w:bCs/>
                <w:sz w:val="24"/>
                <w:szCs w:val="24"/>
              </w:rPr>
            </w:pPr>
            <w:r w:rsidRPr="00995156">
              <w:rPr>
                <w:rFonts w:ascii="Arial" w:hAnsi="Arial" w:cs="Arial"/>
                <w:b/>
                <w:bCs/>
                <w:sz w:val="24"/>
                <w:szCs w:val="24"/>
              </w:rPr>
              <w:t>13.5p</w:t>
            </w:r>
          </w:p>
        </w:tc>
        <w:tc>
          <w:tcPr>
            <w:tcW w:w="890" w:type="pct"/>
            <w:tcBorders>
              <w:top w:val="single" w:sz="4" w:space="0" w:color="auto"/>
              <w:bottom w:val="single" w:sz="4" w:space="0" w:color="auto"/>
            </w:tcBorders>
          </w:tcPr>
          <w:p w:rsidR="00071D62" w:rsidRPr="00995156" w:rsidRDefault="00071D62" w:rsidP="00995156">
            <w:pPr>
              <w:jc w:val="right"/>
              <w:rPr>
                <w:rFonts w:ascii="Arial" w:hAnsi="Arial" w:cs="Arial"/>
                <w:sz w:val="24"/>
                <w:szCs w:val="24"/>
              </w:rPr>
            </w:pPr>
            <w:r w:rsidRPr="00995156">
              <w:rPr>
                <w:rFonts w:ascii="Arial" w:hAnsi="Arial" w:cs="Arial"/>
                <w:sz w:val="24"/>
                <w:szCs w:val="24"/>
              </w:rPr>
              <w:t>10.6p</w:t>
            </w:r>
          </w:p>
        </w:tc>
      </w:tr>
    </w:tbl>
    <w:p w:rsidR="00071D62" w:rsidRPr="00525B67" w:rsidRDefault="00071D62" w:rsidP="00995156">
      <w:pPr>
        <w:ind w:right="-368"/>
        <w:jc w:val="left"/>
        <w:rPr>
          <w:rFonts w:ascii="Arial" w:hAnsi="Arial" w:cs="Arial"/>
          <w:b/>
          <w:bCs/>
          <w:sz w:val="24"/>
          <w:szCs w:val="24"/>
          <w:highlight w:val="yellow"/>
        </w:rPr>
      </w:pPr>
    </w:p>
    <w:p w:rsidR="00071D62" w:rsidRPr="002428ED" w:rsidRDefault="00071D62" w:rsidP="00995156">
      <w:pPr>
        <w:ind w:right="-368"/>
        <w:jc w:val="left"/>
        <w:rPr>
          <w:rFonts w:ascii="Arial" w:hAnsi="Arial" w:cs="Arial"/>
          <w:b/>
          <w:bCs/>
          <w:sz w:val="24"/>
          <w:szCs w:val="24"/>
        </w:rPr>
      </w:pPr>
      <w:r>
        <w:rPr>
          <w:rFonts w:ascii="Arial" w:hAnsi="Arial" w:cs="Arial"/>
          <w:b/>
          <w:bCs/>
          <w:sz w:val="24"/>
          <w:szCs w:val="24"/>
        </w:rPr>
        <w:t>Dividends</w:t>
      </w:r>
    </w:p>
    <w:p w:rsidR="00071D62" w:rsidRPr="00525B67" w:rsidRDefault="00071D62" w:rsidP="00995156">
      <w:pPr>
        <w:ind w:right="-368"/>
        <w:jc w:val="left"/>
        <w:rPr>
          <w:rFonts w:ascii="Arial" w:hAnsi="Arial" w:cs="Arial"/>
          <w:b/>
          <w:bCs/>
          <w:sz w:val="24"/>
          <w:szCs w:val="24"/>
          <w:highlight w:val="yellow"/>
        </w:rPr>
      </w:pPr>
      <w:r>
        <w:rPr>
          <w:rFonts w:ascii="Arial" w:hAnsi="Arial" w:cs="Arial"/>
          <w:sz w:val="24"/>
          <w:szCs w:val="24"/>
        </w:rPr>
        <w:t>T</w:t>
      </w:r>
      <w:r w:rsidRPr="00143169">
        <w:rPr>
          <w:rFonts w:ascii="Arial" w:hAnsi="Arial" w:cs="Arial"/>
          <w:sz w:val="24"/>
          <w:szCs w:val="24"/>
        </w:rPr>
        <w:t xml:space="preserve">he </w:t>
      </w:r>
      <w:r w:rsidRPr="00143169">
        <w:rPr>
          <w:rFonts w:ascii="Arial" w:hAnsi="Arial" w:cs="Arial"/>
          <w:b/>
          <w:bCs/>
          <w:sz w:val="24"/>
          <w:szCs w:val="24"/>
        </w:rPr>
        <w:t>interim dividend</w:t>
      </w:r>
      <w:r w:rsidRPr="00143169">
        <w:rPr>
          <w:rFonts w:ascii="Arial" w:hAnsi="Arial" w:cs="Arial"/>
          <w:sz w:val="24"/>
          <w:szCs w:val="24"/>
        </w:rPr>
        <w:t xml:space="preserve"> has been calculated</w:t>
      </w:r>
      <w:r>
        <w:rPr>
          <w:rFonts w:ascii="Arial" w:hAnsi="Arial" w:cs="Arial"/>
          <w:sz w:val="24"/>
          <w:szCs w:val="24"/>
        </w:rPr>
        <w:t>, as in the prior year,</w:t>
      </w:r>
      <w:r w:rsidRPr="00143169">
        <w:rPr>
          <w:rFonts w:ascii="Arial" w:hAnsi="Arial" w:cs="Arial"/>
          <w:sz w:val="24"/>
          <w:szCs w:val="24"/>
        </w:rPr>
        <w:t xml:space="preserve"> automatically as 35% of the prior year’s total dividend</w:t>
      </w:r>
      <w:r>
        <w:rPr>
          <w:rFonts w:ascii="Arial" w:hAnsi="Arial" w:cs="Arial"/>
          <w:sz w:val="24"/>
          <w:szCs w:val="24"/>
        </w:rPr>
        <w:t>.</w:t>
      </w:r>
      <w:r w:rsidRPr="00143169">
        <w:rPr>
          <w:rFonts w:ascii="Arial" w:hAnsi="Arial" w:cs="Arial"/>
          <w:sz w:val="24"/>
          <w:szCs w:val="24"/>
        </w:rPr>
        <w:t xml:space="preserve"> </w:t>
      </w:r>
      <w:r>
        <w:rPr>
          <w:rFonts w:ascii="Arial" w:hAnsi="Arial" w:cs="Arial"/>
          <w:sz w:val="24"/>
          <w:szCs w:val="24"/>
        </w:rPr>
        <w:t>A</w:t>
      </w:r>
      <w:r w:rsidRPr="00143169">
        <w:rPr>
          <w:rFonts w:ascii="Arial" w:hAnsi="Arial" w:cs="Arial"/>
          <w:sz w:val="24"/>
          <w:szCs w:val="24"/>
        </w:rPr>
        <w:t>ny increase in the full year dividend</w:t>
      </w:r>
      <w:r>
        <w:rPr>
          <w:rFonts w:ascii="Arial" w:hAnsi="Arial" w:cs="Arial"/>
          <w:sz w:val="24"/>
          <w:szCs w:val="24"/>
        </w:rPr>
        <w:t xml:space="preserve"> is</w:t>
      </w:r>
      <w:r w:rsidRPr="00143169">
        <w:rPr>
          <w:rFonts w:ascii="Arial" w:hAnsi="Arial" w:cs="Arial"/>
          <w:sz w:val="24"/>
          <w:szCs w:val="24"/>
        </w:rPr>
        <w:t xml:space="preserve"> considered annually in March.  </w:t>
      </w:r>
      <w:r w:rsidRPr="00FB458E">
        <w:rPr>
          <w:rFonts w:ascii="Arial" w:hAnsi="Arial" w:cs="Arial"/>
          <w:sz w:val="24"/>
          <w:szCs w:val="24"/>
        </w:rPr>
        <w:t>As announced at the year end</w:t>
      </w:r>
      <w:r>
        <w:rPr>
          <w:rFonts w:ascii="Arial" w:hAnsi="Arial" w:cs="Arial"/>
          <w:sz w:val="24"/>
          <w:szCs w:val="24"/>
        </w:rPr>
        <w:t>,</w:t>
      </w:r>
      <w:r w:rsidRPr="00143169">
        <w:rPr>
          <w:rFonts w:ascii="Arial" w:hAnsi="Arial" w:cs="Arial"/>
          <w:sz w:val="24"/>
          <w:szCs w:val="24"/>
        </w:rPr>
        <w:t xml:space="preserve"> the interim dividend is proposed at 2.47p per share (2010/11: 1.925p per share). The ex-dividend date will be 5 October 2011 and the dividend will be paid on 11 November 2011, to those shareholders who are on the Register of Members at the close of business on 7 October 2011. Shareholders are able to take this dividend as cash or in shares, through the Dividend Reinvestment Plan (DRIP). Shareholders who wish to elect for the DRIP for the forthcoming interim dividend but have not already done so must notify the Registrars, Computershare Investor Services plc, by 21 October 2011.</w:t>
      </w:r>
    </w:p>
    <w:p w:rsidR="00071D62" w:rsidRDefault="00071D62" w:rsidP="00995156">
      <w:pPr>
        <w:ind w:right="-368"/>
        <w:jc w:val="left"/>
        <w:rPr>
          <w:rFonts w:ascii="Arial" w:hAnsi="Arial" w:cs="Arial"/>
          <w:color w:val="FF0000"/>
          <w:sz w:val="24"/>
          <w:szCs w:val="24"/>
        </w:rPr>
      </w:pPr>
    </w:p>
    <w:p w:rsidR="00071D62" w:rsidRDefault="00071D62" w:rsidP="00995156">
      <w:pPr>
        <w:ind w:right="-368"/>
        <w:jc w:val="left"/>
        <w:rPr>
          <w:rFonts w:ascii="Arial" w:hAnsi="Arial" w:cs="Arial"/>
          <w:b/>
          <w:bCs/>
          <w:sz w:val="24"/>
          <w:szCs w:val="24"/>
        </w:rPr>
      </w:pPr>
      <w:r w:rsidRPr="00EA4941">
        <w:rPr>
          <w:rFonts w:ascii="Arial" w:hAnsi="Arial" w:cs="Arial"/>
          <w:b/>
          <w:bCs/>
          <w:sz w:val="24"/>
          <w:szCs w:val="24"/>
        </w:rPr>
        <w:t>Free cash flow</w:t>
      </w:r>
    </w:p>
    <w:p w:rsidR="00071D62" w:rsidRDefault="00071D62" w:rsidP="00995156">
      <w:pPr>
        <w:ind w:right="-368"/>
        <w:jc w:val="left"/>
        <w:rPr>
          <w:rFonts w:ascii="Arial" w:hAnsi="Arial" w:cs="Arial"/>
          <w:color w:val="FF0000"/>
          <w:sz w:val="24"/>
          <w:szCs w:val="24"/>
        </w:rPr>
      </w:pPr>
      <w:r w:rsidRPr="00A63FD2">
        <w:rPr>
          <w:rFonts w:ascii="Arial" w:hAnsi="Arial" w:cs="Arial"/>
          <w:sz w:val="24"/>
          <w:szCs w:val="24"/>
        </w:rPr>
        <w:t xml:space="preserve">A reconciliation of free cash flow and cash flow movement in </w:t>
      </w:r>
      <w:r>
        <w:rPr>
          <w:rFonts w:ascii="Arial" w:hAnsi="Arial" w:cs="Arial"/>
          <w:sz w:val="24"/>
          <w:szCs w:val="24"/>
        </w:rPr>
        <w:t xml:space="preserve">financial </w:t>
      </w:r>
      <w:r w:rsidRPr="00A63FD2">
        <w:rPr>
          <w:rFonts w:ascii="Arial" w:hAnsi="Arial" w:cs="Arial"/>
          <w:sz w:val="24"/>
          <w:szCs w:val="24"/>
        </w:rPr>
        <w:t>net debt</w:t>
      </w:r>
      <w:r>
        <w:rPr>
          <w:rFonts w:ascii="Arial" w:hAnsi="Arial" w:cs="Arial"/>
          <w:sz w:val="24"/>
          <w:szCs w:val="24"/>
        </w:rPr>
        <w:t>/cash</w:t>
      </w:r>
      <w:r w:rsidRPr="00A63FD2">
        <w:rPr>
          <w:rFonts w:ascii="Arial" w:hAnsi="Arial" w:cs="Arial"/>
          <w:sz w:val="24"/>
          <w:szCs w:val="24"/>
        </w:rPr>
        <w:t xml:space="preserve"> is set out below:</w:t>
      </w:r>
    </w:p>
    <w:tbl>
      <w:tblPr>
        <w:tblW w:w="8830" w:type="dxa"/>
        <w:tblInd w:w="2" w:type="dxa"/>
        <w:tblLayout w:type="fixed"/>
        <w:tblLook w:val="0000"/>
      </w:tblPr>
      <w:tblGrid>
        <w:gridCol w:w="6310"/>
        <w:gridCol w:w="1260"/>
        <w:gridCol w:w="1260"/>
      </w:tblGrid>
      <w:tr w:rsidR="00071D62" w:rsidRPr="009D2302">
        <w:trPr>
          <w:trHeight w:val="555"/>
        </w:trPr>
        <w:tc>
          <w:tcPr>
            <w:tcW w:w="6310" w:type="dxa"/>
            <w:vAlign w:val="bottom"/>
          </w:tcPr>
          <w:p w:rsidR="00071D62" w:rsidRPr="00EA4941" w:rsidRDefault="00071D62" w:rsidP="004948B3">
            <w:pPr>
              <w:jc w:val="left"/>
              <w:rPr>
                <w:rFonts w:ascii="Arial" w:hAnsi="Arial" w:cs="Arial"/>
                <w:sz w:val="24"/>
                <w:szCs w:val="24"/>
              </w:rPr>
            </w:pPr>
          </w:p>
        </w:tc>
        <w:tc>
          <w:tcPr>
            <w:tcW w:w="1260" w:type="dxa"/>
          </w:tcPr>
          <w:p w:rsidR="00071D62" w:rsidRPr="00EA4941" w:rsidRDefault="00071D62" w:rsidP="004948B3">
            <w:pPr>
              <w:jc w:val="right"/>
              <w:rPr>
                <w:rFonts w:ascii="Arial" w:hAnsi="Arial" w:cs="Arial"/>
                <w:b/>
                <w:bCs/>
                <w:sz w:val="24"/>
                <w:szCs w:val="24"/>
              </w:rPr>
            </w:pPr>
            <w:r w:rsidRPr="00EA4941">
              <w:rPr>
                <w:rFonts w:ascii="Arial" w:hAnsi="Arial" w:cs="Arial"/>
                <w:b/>
                <w:bCs/>
                <w:sz w:val="24"/>
                <w:szCs w:val="24"/>
              </w:rPr>
              <w:t>2011/12</w:t>
            </w:r>
          </w:p>
          <w:p w:rsidR="00071D62" w:rsidRPr="00EA4941" w:rsidRDefault="00071D62" w:rsidP="004948B3">
            <w:pPr>
              <w:jc w:val="right"/>
              <w:rPr>
                <w:rFonts w:ascii="Arial" w:hAnsi="Arial" w:cs="Arial"/>
                <w:b/>
                <w:bCs/>
                <w:sz w:val="24"/>
                <w:szCs w:val="24"/>
              </w:rPr>
            </w:pPr>
            <w:r w:rsidRPr="00EA4941">
              <w:rPr>
                <w:rFonts w:ascii="Arial" w:hAnsi="Arial" w:cs="Arial"/>
                <w:b/>
                <w:bCs/>
                <w:sz w:val="24"/>
                <w:szCs w:val="24"/>
              </w:rPr>
              <w:t>£m</w:t>
            </w:r>
          </w:p>
        </w:tc>
        <w:tc>
          <w:tcPr>
            <w:tcW w:w="1260" w:type="dxa"/>
            <w:vAlign w:val="bottom"/>
          </w:tcPr>
          <w:p w:rsidR="00071D62" w:rsidRPr="00185E72" w:rsidRDefault="00071D62" w:rsidP="004948B3">
            <w:pPr>
              <w:jc w:val="right"/>
              <w:rPr>
                <w:rFonts w:ascii="Arial" w:hAnsi="Arial" w:cs="Arial"/>
                <w:sz w:val="24"/>
                <w:szCs w:val="24"/>
              </w:rPr>
            </w:pPr>
            <w:r w:rsidRPr="00185E72">
              <w:rPr>
                <w:rFonts w:ascii="Arial" w:hAnsi="Arial" w:cs="Arial"/>
                <w:sz w:val="24"/>
                <w:szCs w:val="24"/>
              </w:rPr>
              <w:t>2010/11</w:t>
            </w:r>
          </w:p>
          <w:p w:rsidR="00071D62" w:rsidRPr="00185E72" w:rsidRDefault="00071D62" w:rsidP="004948B3">
            <w:pPr>
              <w:jc w:val="right"/>
              <w:rPr>
                <w:rFonts w:ascii="Arial" w:hAnsi="Arial" w:cs="Arial"/>
                <w:sz w:val="24"/>
                <w:szCs w:val="24"/>
              </w:rPr>
            </w:pPr>
            <w:r w:rsidRPr="00185E72">
              <w:rPr>
                <w:rFonts w:ascii="Arial" w:hAnsi="Arial" w:cs="Arial"/>
                <w:sz w:val="24"/>
                <w:szCs w:val="24"/>
              </w:rPr>
              <w:t>£m</w:t>
            </w:r>
          </w:p>
        </w:tc>
      </w:tr>
      <w:tr w:rsidR="00071D62" w:rsidRPr="006862B3">
        <w:trPr>
          <w:trHeight w:val="255"/>
        </w:trPr>
        <w:tc>
          <w:tcPr>
            <w:tcW w:w="6310" w:type="dxa"/>
            <w:tcBorders>
              <w:top w:val="single" w:sz="4" w:space="0" w:color="auto"/>
            </w:tcBorders>
            <w:vAlign w:val="bottom"/>
          </w:tcPr>
          <w:p w:rsidR="00071D62" w:rsidRPr="006862B3" w:rsidRDefault="00071D62" w:rsidP="004948B3">
            <w:pPr>
              <w:rPr>
                <w:rFonts w:ascii="Arial" w:hAnsi="Arial" w:cs="Arial"/>
                <w:b/>
                <w:bCs/>
                <w:sz w:val="24"/>
                <w:szCs w:val="24"/>
              </w:rPr>
            </w:pPr>
            <w:r w:rsidRPr="006862B3">
              <w:rPr>
                <w:rFonts w:ascii="Arial" w:hAnsi="Arial" w:cs="Arial"/>
                <w:b/>
                <w:bCs/>
                <w:sz w:val="24"/>
                <w:szCs w:val="24"/>
              </w:rPr>
              <w:t>Operating profit (before exceptional items)</w:t>
            </w:r>
          </w:p>
        </w:tc>
        <w:tc>
          <w:tcPr>
            <w:tcW w:w="1260" w:type="dxa"/>
            <w:tcBorders>
              <w:top w:val="single" w:sz="4" w:space="0" w:color="auto"/>
            </w:tcBorders>
          </w:tcPr>
          <w:p w:rsidR="00071D62" w:rsidRPr="006862B3" w:rsidRDefault="00071D62" w:rsidP="004948B3">
            <w:pPr>
              <w:jc w:val="right"/>
              <w:rPr>
                <w:rFonts w:ascii="Arial" w:hAnsi="Arial" w:cs="Arial"/>
                <w:b/>
                <w:bCs/>
                <w:sz w:val="24"/>
                <w:szCs w:val="24"/>
              </w:rPr>
            </w:pPr>
            <w:r w:rsidRPr="006862B3">
              <w:rPr>
                <w:rFonts w:ascii="Arial" w:hAnsi="Arial" w:cs="Arial"/>
                <w:b/>
                <w:bCs/>
                <w:sz w:val="24"/>
                <w:szCs w:val="24"/>
              </w:rPr>
              <w:t>443</w:t>
            </w:r>
          </w:p>
        </w:tc>
        <w:tc>
          <w:tcPr>
            <w:tcW w:w="1260" w:type="dxa"/>
            <w:tcBorders>
              <w:top w:val="single" w:sz="4" w:space="0" w:color="auto"/>
            </w:tcBorders>
            <w:vAlign w:val="bottom"/>
          </w:tcPr>
          <w:p w:rsidR="00071D62" w:rsidRPr="00185E72" w:rsidRDefault="00071D62" w:rsidP="004948B3">
            <w:pPr>
              <w:jc w:val="right"/>
              <w:rPr>
                <w:rFonts w:ascii="Arial" w:hAnsi="Arial" w:cs="Arial"/>
                <w:sz w:val="24"/>
                <w:szCs w:val="24"/>
              </w:rPr>
            </w:pPr>
            <w:r w:rsidRPr="00185E72">
              <w:rPr>
                <w:rFonts w:ascii="Arial" w:hAnsi="Arial" w:cs="Arial"/>
                <w:sz w:val="24"/>
                <w:szCs w:val="24"/>
              </w:rPr>
              <w:t>374</w:t>
            </w:r>
          </w:p>
        </w:tc>
      </w:tr>
      <w:tr w:rsidR="00071D62" w:rsidRPr="006862B3">
        <w:trPr>
          <w:trHeight w:val="270"/>
        </w:trPr>
        <w:tc>
          <w:tcPr>
            <w:tcW w:w="6310" w:type="dxa"/>
            <w:vAlign w:val="bottom"/>
          </w:tcPr>
          <w:p w:rsidR="00071D62" w:rsidRPr="006862B3" w:rsidRDefault="00071D62" w:rsidP="004948B3">
            <w:pPr>
              <w:rPr>
                <w:rFonts w:ascii="Arial" w:hAnsi="Arial" w:cs="Arial"/>
                <w:sz w:val="24"/>
                <w:szCs w:val="24"/>
              </w:rPr>
            </w:pPr>
            <w:r w:rsidRPr="006862B3">
              <w:rPr>
                <w:rFonts w:ascii="Arial" w:hAnsi="Arial" w:cs="Arial"/>
                <w:sz w:val="24"/>
                <w:szCs w:val="24"/>
              </w:rPr>
              <w:t>Other non</w:t>
            </w:r>
            <w:r>
              <w:rPr>
                <w:rFonts w:ascii="Arial" w:hAnsi="Arial" w:cs="Arial"/>
                <w:sz w:val="24"/>
                <w:szCs w:val="24"/>
              </w:rPr>
              <w:t>-</w:t>
            </w:r>
            <w:r w:rsidRPr="006862B3">
              <w:rPr>
                <w:rFonts w:ascii="Arial" w:hAnsi="Arial" w:cs="Arial"/>
                <w:sz w:val="24"/>
                <w:szCs w:val="24"/>
              </w:rPr>
              <w:t>cash items</w:t>
            </w:r>
            <w:r w:rsidRPr="006862B3">
              <w:rPr>
                <w:rFonts w:ascii="Arial" w:hAnsi="Arial" w:cs="Arial"/>
                <w:sz w:val="24"/>
                <w:szCs w:val="24"/>
                <w:vertAlign w:val="superscript"/>
              </w:rPr>
              <w:t>1</w:t>
            </w:r>
          </w:p>
        </w:tc>
        <w:tc>
          <w:tcPr>
            <w:tcW w:w="1260" w:type="dxa"/>
          </w:tcPr>
          <w:p w:rsidR="00071D62" w:rsidRPr="006862B3" w:rsidRDefault="00071D62" w:rsidP="004948B3">
            <w:pPr>
              <w:jc w:val="right"/>
              <w:rPr>
                <w:rFonts w:ascii="Arial" w:hAnsi="Arial" w:cs="Arial"/>
                <w:b/>
                <w:bCs/>
                <w:sz w:val="24"/>
                <w:szCs w:val="24"/>
              </w:rPr>
            </w:pPr>
            <w:r w:rsidRPr="006862B3">
              <w:rPr>
                <w:rFonts w:ascii="Arial" w:hAnsi="Arial" w:cs="Arial"/>
                <w:b/>
                <w:bCs/>
                <w:sz w:val="24"/>
                <w:szCs w:val="24"/>
              </w:rPr>
              <w:t>134</w:t>
            </w:r>
          </w:p>
        </w:tc>
        <w:tc>
          <w:tcPr>
            <w:tcW w:w="1260" w:type="dxa"/>
            <w:vAlign w:val="bottom"/>
          </w:tcPr>
          <w:p w:rsidR="00071D62" w:rsidRPr="00185E72" w:rsidRDefault="00071D62" w:rsidP="004948B3">
            <w:pPr>
              <w:jc w:val="right"/>
              <w:rPr>
                <w:rFonts w:ascii="Arial" w:hAnsi="Arial" w:cs="Arial"/>
                <w:sz w:val="24"/>
                <w:szCs w:val="24"/>
              </w:rPr>
            </w:pPr>
            <w:r w:rsidRPr="00185E72">
              <w:rPr>
                <w:rFonts w:ascii="Arial" w:hAnsi="Arial" w:cs="Arial"/>
                <w:sz w:val="24"/>
                <w:szCs w:val="24"/>
              </w:rPr>
              <w:t>135</w:t>
            </w:r>
          </w:p>
        </w:tc>
      </w:tr>
      <w:tr w:rsidR="00071D62" w:rsidRPr="006862B3">
        <w:trPr>
          <w:trHeight w:val="247"/>
        </w:trPr>
        <w:tc>
          <w:tcPr>
            <w:tcW w:w="6310" w:type="dxa"/>
            <w:vAlign w:val="bottom"/>
          </w:tcPr>
          <w:p w:rsidR="00071D62" w:rsidRPr="006862B3" w:rsidRDefault="00071D62" w:rsidP="004948B3">
            <w:pPr>
              <w:rPr>
                <w:rFonts w:ascii="Arial" w:hAnsi="Arial" w:cs="Arial"/>
                <w:sz w:val="24"/>
                <w:szCs w:val="24"/>
              </w:rPr>
            </w:pPr>
            <w:r w:rsidRPr="006862B3">
              <w:rPr>
                <w:rFonts w:ascii="Arial" w:hAnsi="Arial" w:cs="Arial"/>
                <w:sz w:val="24"/>
                <w:szCs w:val="24"/>
              </w:rPr>
              <w:t>Change in working capital</w:t>
            </w:r>
            <w:r>
              <w:rPr>
                <w:rFonts w:ascii="Arial" w:hAnsi="Arial" w:cs="Arial"/>
                <w:sz w:val="24"/>
                <w:szCs w:val="24"/>
              </w:rPr>
              <w:t xml:space="preserve"> pre-exceptionals</w:t>
            </w:r>
          </w:p>
        </w:tc>
        <w:tc>
          <w:tcPr>
            <w:tcW w:w="1260" w:type="dxa"/>
          </w:tcPr>
          <w:p w:rsidR="00071D62" w:rsidRPr="006862B3" w:rsidRDefault="00071D62" w:rsidP="004948B3">
            <w:pPr>
              <w:jc w:val="right"/>
              <w:rPr>
                <w:rFonts w:ascii="Arial" w:hAnsi="Arial" w:cs="Arial"/>
                <w:b/>
                <w:bCs/>
                <w:sz w:val="24"/>
                <w:szCs w:val="24"/>
              </w:rPr>
            </w:pPr>
            <w:r w:rsidRPr="006862B3">
              <w:rPr>
                <w:rFonts w:ascii="Arial" w:hAnsi="Arial" w:cs="Arial"/>
                <w:b/>
                <w:bCs/>
                <w:sz w:val="24"/>
                <w:szCs w:val="24"/>
              </w:rPr>
              <w:t>(170)</w:t>
            </w:r>
          </w:p>
        </w:tc>
        <w:tc>
          <w:tcPr>
            <w:tcW w:w="1260" w:type="dxa"/>
            <w:vAlign w:val="bottom"/>
          </w:tcPr>
          <w:p w:rsidR="00071D62" w:rsidRPr="00185E72" w:rsidRDefault="00071D62" w:rsidP="004948B3">
            <w:pPr>
              <w:jc w:val="right"/>
              <w:rPr>
                <w:rFonts w:ascii="Arial" w:hAnsi="Arial" w:cs="Arial"/>
                <w:sz w:val="24"/>
                <w:szCs w:val="24"/>
              </w:rPr>
            </w:pPr>
            <w:r w:rsidRPr="00185E72">
              <w:rPr>
                <w:rFonts w:ascii="Arial" w:hAnsi="Arial" w:cs="Arial"/>
                <w:sz w:val="24"/>
                <w:szCs w:val="24"/>
              </w:rPr>
              <w:t>25</w:t>
            </w:r>
          </w:p>
        </w:tc>
      </w:tr>
      <w:tr w:rsidR="00071D62" w:rsidRPr="006862B3">
        <w:trPr>
          <w:trHeight w:val="255"/>
        </w:trPr>
        <w:tc>
          <w:tcPr>
            <w:tcW w:w="6310" w:type="dxa"/>
            <w:tcBorders>
              <w:bottom w:val="single" w:sz="4" w:space="0" w:color="auto"/>
            </w:tcBorders>
            <w:vAlign w:val="bottom"/>
          </w:tcPr>
          <w:p w:rsidR="00071D62" w:rsidRPr="006862B3" w:rsidRDefault="00071D62" w:rsidP="00695E47">
            <w:pPr>
              <w:rPr>
                <w:rFonts w:ascii="Arial" w:hAnsi="Arial" w:cs="Arial"/>
                <w:sz w:val="24"/>
                <w:szCs w:val="24"/>
              </w:rPr>
            </w:pPr>
            <w:r w:rsidRPr="006862B3">
              <w:rPr>
                <w:rFonts w:ascii="Arial" w:hAnsi="Arial" w:cs="Arial"/>
                <w:sz w:val="24"/>
                <w:szCs w:val="24"/>
              </w:rPr>
              <w:t xml:space="preserve">Pensions and provisions </w:t>
            </w:r>
            <w:r>
              <w:rPr>
                <w:rFonts w:ascii="Arial" w:hAnsi="Arial" w:cs="Arial"/>
                <w:sz w:val="24"/>
                <w:szCs w:val="24"/>
              </w:rPr>
              <w:t>pre-</w:t>
            </w:r>
            <w:r w:rsidRPr="006862B3">
              <w:rPr>
                <w:rFonts w:ascii="Arial" w:hAnsi="Arial" w:cs="Arial"/>
                <w:sz w:val="24"/>
                <w:szCs w:val="24"/>
              </w:rPr>
              <w:t>exceptional</w:t>
            </w:r>
            <w:r>
              <w:rPr>
                <w:rFonts w:ascii="Arial" w:hAnsi="Arial" w:cs="Arial"/>
                <w:sz w:val="24"/>
                <w:szCs w:val="24"/>
              </w:rPr>
              <w:t>s</w:t>
            </w:r>
          </w:p>
        </w:tc>
        <w:tc>
          <w:tcPr>
            <w:tcW w:w="1260" w:type="dxa"/>
            <w:tcBorders>
              <w:bottom w:val="single" w:sz="4" w:space="0" w:color="auto"/>
            </w:tcBorders>
          </w:tcPr>
          <w:p w:rsidR="00071D62" w:rsidRPr="006862B3" w:rsidRDefault="00071D62" w:rsidP="004948B3">
            <w:pPr>
              <w:jc w:val="right"/>
              <w:rPr>
                <w:rFonts w:ascii="Arial" w:hAnsi="Arial" w:cs="Arial"/>
                <w:b/>
                <w:bCs/>
                <w:sz w:val="24"/>
                <w:szCs w:val="24"/>
              </w:rPr>
            </w:pPr>
            <w:r w:rsidRPr="006862B3">
              <w:rPr>
                <w:rFonts w:ascii="Arial" w:hAnsi="Arial" w:cs="Arial"/>
                <w:b/>
                <w:bCs/>
                <w:sz w:val="24"/>
                <w:szCs w:val="24"/>
              </w:rPr>
              <w:t>(26)</w:t>
            </w:r>
          </w:p>
        </w:tc>
        <w:tc>
          <w:tcPr>
            <w:tcW w:w="1260" w:type="dxa"/>
            <w:tcBorders>
              <w:bottom w:val="single" w:sz="4" w:space="0" w:color="auto"/>
            </w:tcBorders>
            <w:vAlign w:val="bottom"/>
          </w:tcPr>
          <w:p w:rsidR="00071D62" w:rsidRPr="00185E72" w:rsidRDefault="00071D62" w:rsidP="004948B3">
            <w:pPr>
              <w:jc w:val="right"/>
              <w:rPr>
                <w:rFonts w:ascii="Arial" w:hAnsi="Arial" w:cs="Arial"/>
                <w:sz w:val="24"/>
                <w:szCs w:val="24"/>
              </w:rPr>
            </w:pPr>
            <w:r w:rsidRPr="00185E72">
              <w:rPr>
                <w:rFonts w:ascii="Arial" w:hAnsi="Arial" w:cs="Arial"/>
                <w:sz w:val="24"/>
                <w:szCs w:val="24"/>
              </w:rPr>
              <w:t>(30)</w:t>
            </w:r>
          </w:p>
        </w:tc>
      </w:tr>
      <w:tr w:rsidR="00071D62" w:rsidRPr="006862B3">
        <w:trPr>
          <w:trHeight w:val="255"/>
        </w:trPr>
        <w:tc>
          <w:tcPr>
            <w:tcW w:w="6310" w:type="dxa"/>
            <w:tcBorders>
              <w:top w:val="single" w:sz="4" w:space="0" w:color="auto"/>
            </w:tcBorders>
            <w:vAlign w:val="bottom"/>
          </w:tcPr>
          <w:p w:rsidR="00071D62" w:rsidRPr="006862B3" w:rsidRDefault="00071D62" w:rsidP="004948B3">
            <w:pPr>
              <w:rPr>
                <w:rFonts w:ascii="Arial" w:hAnsi="Arial" w:cs="Arial"/>
                <w:sz w:val="24"/>
                <w:szCs w:val="24"/>
              </w:rPr>
            </w:pPr>
            <w:r w:rsidRPr="006862B3">
              <w:rPr>
                <w:rFonts w:ascii="Arial" w:hAnsi="Arial" w:cs="Arial"/>
                <w:sz w:val="24"/>
                <w:szCs w:val="24"/>
              </w:rPr>
              <w:t>Operating cash flow</w:t>
            </w:r>
          </w:p>
        </w:tc>
        <w:tc>
          <w:tcPr>
            <w:tcW w:w="1260" w:type="dxa"/>
            <w:tcBorders>
              <w:top w:val="single" w:sz="4" w:space="0" w:color="auto"/>
            </w:tcBorders>
          </w:tcPr>
          <w:p w:rsidR="00071D62" w:rsidRPr="006862B3" w:rsidRDefault="00071D62" w:rsidP="004948B3">
            <w:pPr>
              <w:jc w:val="right"/>
              <w:rPr>
                <w:rFonts w:ascii="Arial" w:hAnsi="Arial" w:cs="Arial"/>
                <w:b/>
                <w:bCs/>
                <w:sz w:val="24"/>
                <w:szCs w:val="24"/>
              </w:rPr>
            </w:pPr>
            <w:r w:rsidRPr="006862B3">
              <w:rPr>
                <w:rFonts w:ascii="Arial" w:hAnsi="Arial" w:cs="Arial"/>
                <w:b/>
                <w:bCs/>
                <w:sz w:val="24"/>
                <w:szCs w:val="24"/>
              </w:rPr>
              <w:t>381</w:t>
            </w:r>
          </w:p>
        </w:tc>
        <w:tc>
          <w:tcPr>
            <w:tcW w:w="1260" w:type="dxa"/>
            <w:tcBorders>
              <w:top w:val="single" w:sz="4" w:space="0" w:color="auto"/>
            </w:tcBorders>
            <w:vAlign w:val="bottom"/>
          </w:tcPr>
          <w:p w:rsidR="00071D62" w:rsidRPr="00185E72" w:rsidRDefault="00071D62" w:rsidP="004948B3">
            <w:pPr>
              <w:jc w:val="right"/>
              <w:rPr>
                <w:rFonts w:ascii="Arial" w:hAnsi="Arial" w:cs="Arial"/>
                <w:sz w:val="24"/>
                <w:szCs w:val="24"/>
              </w:rPr>
            </w:pPr>
            <w:r w:rsidRPr="00185E72">
              <w:rPr>
                <w:rFonts w:ascii="Arial" w:hAnsi="Arial" w:cs="Arial"/>
                <w:sz w:val="24"/>
                <w:szCs w:val="24"/>
              </w:rPr>
              <w:t>504</w:t>
            </w:r>
          </w:p>
        </w:tc>
      </w:tr>
      <w:tr w:rsidR="00071D62" w:rsidRPr="006862B3">
        <w:trPr>
          <w:trHeight w:val="311"/>
        </w:trPr>
        <w:tc>
          <w:tcPr>
            <w:tcW w:w="6310" w:type="dxa"/>
            <w:vAlign w:val="bottom"/>
          </w:tcPr>
          <w:p w:rsidR="00071D62" w:rsidRPr="006862B3" w:rsidRDefault="00071D62" w:rsidP="004948B3">
            <w:pPr>
              <w:rPr>
                <w:rFonts w:ascii="Arial" w:hAnsi="Arial" w:cs="Arial"/>
                <w:sz w:val="24"/>
                <w:szCs w:val="24"/>
              </w:rPr>
            </w:pPr>
            <w:r>
              <w:rPr>
                <w:rFonts w:ascii="Arial" w:hAnsi="Arial" w:cs="Arial"/>
                <w:sz w:val="24"/>
                <w:szCs w:val="24"/>
              </w:rPr>
              <w:t>Net i</w:t>
            </w:r>
            <w:r w:rsidRPr="006862B3">
              <w:rPr>
                <w:rFonts w:ascii="Arial" w:hAnsi="Arial" w:cs="Arial"/>
                <w:sz w:val="24"/>
                <w:szCs w:val="24"/>
              </w:rPr>
              <w:t>nterest paid</w:t>
            </w:r>
          </w:p>
        </w:tc>
        <w:tc>
          <w:tcPr>
            <w:tcW w:w="1260" w:type="dxa"/>
          </w:tcPr>
          <w:p w:rsidR="00071D62" w:rsidRPr="006862B3" w:rsidRDefault="00071D62" w:rsidP="004948B3">
            <w:pPr>
              <w:jc w:val="right"/>
              <w:rPr>
                <w:rFonts w:ascii="Arial" w:hAnsi="Arial" w:cs="Arial"/>
                <w:b/>
                <w:bCs/>
                <w:sz w:val="24"/>
                <w:szCs w:val="24"/>
              </w:rPr>
            </w:pPr>
            <w:r w:rsidRPr="006862B3">
              <w:rPr>
                <w:rFonts w:ascii="Arial" w:hAnsi="Arial" w:cs="Arial"/>
                <w:b/>
                <w:bCs/>
                <w:sz w:val="24"/>
                <w:szCs w:val="24"/>
              </w:rPr>
              <w:t>(5)</w:t>
            </w:r>
          </w:p>
        </w:tc>
        <w:tc>
          <w:tcPr>
            <w:tcW w:w="1260" w:type="dxa"/>
            <w:vAlign w:val="bottom"/>
          </w:tcPr>
          <w:p w:rsidR="00071D62" w:rsidRPr="00185E72" w:rsidRDefault="00071D62" w:rsidP="004948B3">
            <w:pPr>
              <w:jc w:val="right"/>
              <w:rPr>
                <w:rFonts w:ascii="Arial" w:hAnsi="Arial" w:cs="Arial"/>
                <w:sz w:val="24"/>
                <w:szCs w:val="24"/>
              </w:rPr>
            </w:pPr>
            <w:r w:rsidRPr="00185E72">
              <w:rPr>
                <w:rFonts w:ascii="Arial" w:hAnsi="Arial" w:cs="Arial"/>
                <w:sz w:val="24"/>
                <w:szCs w:val="24"/>
              </w:rPr>
              <w:t>(12)</w:t>
            </w:r>
          </w:p>
        </w:tc>
      </w:tr>
      <w:tr w:rsidR="00071D62" w:rsidRPr="006862B3">
        <w:trPr>
          <w:trHeight w:val="270"/>
        </w:trPr>
        <w:tc>
          <w:tcPr>
            <w:tcW w:w="6310" w:type="dxa"/>
            <w:vAlign w:val="bottom"/>
          </w:tcPr>
          <w:p w:rsidR="00071D62" w:rsidRPr="006862B3" w:rsidRDefault="00071D62" w:rsidP="004948B3">
            <w:pPr>
              <w:rPr>
                <w:rFonts w:ascii="Arial" w:hAnsi="Arial" w:cs="Arial"/>
                <w:sz w:val="24"/>
                <w:szCs w:val="24"/>
              </w:rPr>
            </w:pPr>
            <w:r w:rsidRPr="006862B3">
              <w:rPr>
                <w:rFonts w:ascii="Arial" w:hAnsi="Arial" w:cs="Arial"/>
                <w:sz w:val="24"/>
                <w:szCs w:val="24"/>
              </w:rPr>
              <w:t>Tax paid</w:t>
            </w:r>
          </w:p>
        </w:tc>
        <w:tc>
          <w:tcPr>
            <w:tcW w:w="1260" w:type="dxa"/>
          </w:tcPr>
          <w:p w:rsidR="00071D62" w:rsidRPr="006862B3" w:rsidRDefault="00071D62" w:rsidP="004948B3">
            <w:pPr>
              <w:jc w:val="right"/>
              <w:rPr>
                <w:rFonts w:ascii="Arial" w:hAnsi="Arial" w:cs="Arial"/>
                <w:b/>
                <w:bCs/>
                <w:sz w:val="24"/>
                <w:szCs w:val="24"/>
              </w:rPr>
            </w:pPr>
            <w:r w:rsidRPr="006862B3">
              <w:rPr>
                <w:rFonts w:ascii="Arial" w:hAnsi="Arial" w:cs="Arial"/>
                <w:b/>
                <w:bCs/>
                <w:sz w:val="24"/>
                <w:szCs w:val="24"/>
              </w:rPr>
              <w:t>(68)</w:t>
            </w:r>
          </w:p>
        </w:tc>
        <w:tc>
          <w:tcPr>
            <w:tcW w:w="1260" w:type="dxa"/>
            <w:vAlign w:val="bottom"/>
          </w:tcPr>
          <w:p w:rsidR="00071D62" w:rsidRPr="00185E72" w:rsidRDefault="00071D62" w:rsidP="004948B3">
            <w:pPr>
              <w:jc w:val="right"/>
              <w:rPr>
                <w:rFonts w:ascii="Arial" w:hAnsi="Arial" w:cs="Arial"/>
                <w:sz w:val="24"/>
                <w:szCs w:val="24"/>
              </w:rPr>
            </w:pPr>
            <w:r w:rsidRPr="00185E72">
              <w:rPr>
                <w:rFonts w:ascii="Arial" w:hAnsi="Arial" w:cs="Arial"/>
                <w:sz w:val="24"/>
                <w:szCs w:val="24"/>
              </w:rPr>
              <w:t>(51)</w:t>
            </w:r>
          </w:p>
        </w:tc>
      </w:tr>
      <w:tr w:rsidR="00071D62" w:rsidRPr="006862B3">
        <w:trPr>
          <w:trHeight w:val="270"/>
        </w:trPr>
        <w:tc>
          <w:tcPr>
            <w:tcW w:w="6310" w:type="dxa"/>
            <w:vAlign w:val="bottom"/>
          </w:tcPr>
          <w:p w:rsidR="00071D62" w:rsidRPr="006862B3" w:rsidRDefault="00071D62" w:rsidP="004948B3">
            <w:pPr>
              <w:rPr>
                <w:rFonts w:ascii="Arial" w:hAnsi="Arial" w:cs="Arial"/>
                <w:sz w:val="24"/>
                <w:szCs w:val="24"/>
              </w:rPr>
            </w:pPr>
            <w:r w:rsidRPr="006862B3">
              <w:rPr>
                <w:rFonts w:ascii="Arial" w:hAnsi="Arial" w:cs="Arial"/>
                <w:sz w:val="24"/>
                <w:szCs w:val="24"/>
              </w:rPr>
              <w:t>Gross capital expenditure</w:t>
            </w:r>
          </w:p>
        </w:tc>
        <w:tc>
          <w:tcPr>
            <w:tcW w:w="1260" w:type="dxa"/>
          </w:tcPr>
          <w:p w:rsidR="00071D62" w:rsidRPr="006862B3" w:rsidRDefault="00071D62" w:rsidP="004948B3">
            <w:pPr>
              <w:jc w:val="right"/>
              <w:rPr>
                <w:rFonts w:ascii="Arial" w:hAnsi="Arial" w:cs="Arial"/>
                <w:b/>
                <w:bCs/>
                <w:sz w:val="24"/>
                <w:szCs w:val="24"/>
              </w:rPr>
            </w:pPr>
            <w:r w:rsidRPr="006862B3">
              <w:rPr>
                <w:rFonts w:ascii="Arial" w:hAnsi="Arial" w:cs="Arial"/>
                <w:b/>
                <w:bCs/>
                <w:sz w:val="24"/>
                <w:szCs w:val="24"/>
              </w:rPr>
              <w:t>(175)</w:t>
            </w:r>
          </w:p>
        </w:tc>
        <w:tc>
          <w:tcPr>
            <w:tcW w:w="1260" w:type="dxa"/>
            <w:vAlign w:val="bottom"/>
          </w:tcPr>
          <w:p w:rsidR="00071D62" w:rsidRPr="00185E72" w:rsidRDefault="00071D62" w:rsidP="004948B3">
            <w:pPr>
              <w:jc w:val="right"/>
              <w:rPr>
                <w:rFonts w:ascii="Arial" w:hAnsi="Arial" w:cs="Arial"/>
                <w:sz w:val="24"/>
                <w:szCs w:val="24"/>
              </w:rPr>
            </w:pPr>
            <w:r w:rsidRPr="00185E72">
              <w:rPr>
                <w:rFonts w:ascii="Arial" w:hAnsi="Arial" w:cs="Arial"/>
                <w:sz w:val="24"/>
                <w:szCs w:val="24"/>
              </w:rPr>
              <w:t>(127)</w:t>
            </w:r>
          </w:p>
        </w:tc>
      </w:tr>
      <w:tr w:rsidR="00071D62" w:rsidRPr="006862B3">
        <w:trPr>
          <w:trHeight w:val="270"/>
        </w:trPr>
        <w:tc>
          <w:tcPr>
            <w:tcW w:w="6310" w:type="dxa"/>
            <w:tcBorders>
              <w:bottom w:val="single" w:sz="4" w:space="0" w:color="auto"/>
            </w:tcBorders>
            <w:vAlign w:val="bottom"/>
          </w:tcPr>
          <w:p w:rsidR="00071D62" w:rsidRPr="006862B3" w:rsidRDefault="00071D62" w:rsidP="00695E47">
            <w:pPr>
              <w:rPr>
                <w:rFonts w:ascii="Arial" w:hAnsi="Arial" w:cs="Arial"/>
                <w:sz w:val="24"/>
                <w:szCs w:val="24"/>
              </w:rPr>
            </w:pPr>
            <w:r>
              <w:rPr>
                <w:rFonts w:ascii="Arial" w:hAnsi="Arial" w:cs="Arial"/>
                <w:sz w:val="24"/>
                <w:szCs w:val="24"/>
              </w:rPr>
              <w:t>D</w:t>
            </w:r>
            <w:r w:rsidRPr="006862B3">
              <w:rPr>
                <w:rFonts w:ascii="Arial" w:hAnsi="Arial" w:cs="Arial"/>
                <w:sz w:val="24"/>
                <w:szCs w:val="24"/>
              </w:rPr>
              <w:t>isposal</w:t>
            </w:r>
            <w:r>
              <w:rPr>
                <w:rFonts w:ascii="Arial" w:hAnsi="Arial" w:cs="Arial"/>
                <w:sz w:val="24"/>
                <w:szCs w:val="24"/>
              </w:rPr>
              <w:t xml:space="preserve"> of assets</w:t>
            </w:r>
          </w:p>
        </w:tc>
        <w:tc>
          <w:tcPr>
            <w:tcW w:w="1260" w:type="dxa"/>
            <w:tcBorders>
              <w:bottom w:val="single" w:sz="4" w:space="0" w:color="auto"/>
            </w:tcBorders>
          </w:tcPr>
          <w:p w:rsidR="00071D62" w:rsidRPr="006862B3" w:rsidRDefault="00071D62" w:rsidP="004948B3">
            <w:pPr>
              <w:jc w:val="right"/>
              <w:rPr>
                <w:rFonts w:ascii="Arial" w:hAnsi="Arial" w:cs="Arial"/>
                <w:b/>
                <w:bCs/>
                <w:sz w:val="24"/>
                <w:szCs w:val="24"/>
              </w:rPr>
            </w:pPr>
            <w:r w:rsidRPr="006862B3">
              <w:rPr>
                <w:rFonts w:ascii="Arial" w:hAnsi="Arial" w:cs="Arial"/>
                <w:b/>
                <w:bCs/>
                <w:sz w:val="24"/>
                <w:szCs w:val="24"/>
              </w:rPr>
              <w:t>-</w:t>
            </w:r>
          </w:p>
        </w:tc>
        <w:tc>
          <w:tcPr>
            <w:tcW w:w="1260" w:type="dxa"/>
            <w:tcBorders>
              <w:bottom w:val="single" w:sz="4" w:space="0" w:color="auto"/>
            </w:tcBorders>
            <w:vAlign w:val="bottom"/>
          </w:tcPr>
          <w:p w:rsidR="00071D62" w:rsidRPr="00185E72" w:rsidRDefault="00071D62" w:rsidP="004948B3">
            <w:pPr>
              <w:jc w:val="right"/>
              <w:rPr>
                <w:rFonts w:ascii="Arial" w:hAnsi="Arial" w:cs="Arial"/>
                <w:sz w:val="24"/>
                <w:szCs w:val="24"/>
              </w:rPr>
            </w:pPr>
            <w:r w:rsidRPr="00185E72">
              <w:rPr>
                <w:rFonts w:ascii="Arial" w:hAnsi="Arial" w:cs="Arial"/>
                <w:sz w:val="24"/>
                <w:szCs w:val="24"/>
              </w:rPr>
              <w:t>73</w:t>
            </w:r>
          </w:p>
        </w:tc>
      </w:tr>
      <w:tr w:rsidR="00071D62" w:rsidRPr="006862B3">
        <w:trPr>
          <w:trHeight w:val="270"/>
        </w:trPr>
        <w:tc>
          <w:tcPr>
            <w:tcW w:w="6310" w:type="dxa"/>
            <w:tcBorders>
              <w:top w:val="single" w:sz="4" w:space="0" w:color="auto"/>
            </w:tcBorders>
            <w:vAlign w:val="bottom"/>
          </w:tcPr>
          <w:p w:rsidR="00071D62" w:rsidRPr="006862B3" w:rsidRDefault="00071D62" w:rsidP="004948B3">
            <w:pPr>
              <w:rPr>
                <w:rFonts w:ascii="Arial" w:hAnsi="Arial" w:cs="Arial"/>
                <w:b/>
                <w:bCs/>
                <w:sz w:val="24"/>
                <w:szCs w:val="24"/>
              </w:rPr>
            </w:pPr>
            <w:r w:rsidRPr="006862B3">
              <w:rPr>
                <w:rFonts w:ascii="Arial" w:hAnsi="Arial" w:cs="Arial"/>
                <w:b/>
                <w:bCs/>
                <w:sz w:val="24"/>
                <w:szCs w:val="24"/>
              </w:rPr>
              <w:t>Free cash flow</w:t>
            </w:r>
          </w:p>
        </w:tc>
        <w:tc>
          <w:tcPr>
            <w:tcW w:w="1260" w:type="dxa"/>
            <w:tcBorders>
              <w:top w:val="single" w:sz="4" w:space="0" w:color="auto"/>
            </w:tcBorders>
          </w:tcPr>
          <w:p w:rsidR="00071D62" w:rsidRPr="006862B3" w:rsidRDefault="00071D62" w:rsidP="004948B3">
            <w:pPr>
              <w:jc w:val="right"/>
              <w:rPr>
                <w:rFonts w:ascii="Arial" w:hAnsi="Arial" w:cs="Arial"/>
                <w:b/>
                <w:bCs/>
                <w:sz w:val="24"/>
                <w:szCs w:val="24"/>
              </w:rPr>
            </w:pPr>
            <w:r w:rsidRPr="006862B3">
              <w:rPr>
                <w:rFonts w:ascii="Arial" w:hAnsi="Arial" w:cs="Arial"/>
                <w:b/>
                <w:bCs/>
                <w:sz w:val="24"/>
                <w:szCs w:val="24"/>
              </w:rPr>
              <w:t>133</w:t>
            </w:r>
          </w:p>
        </w:tc>
        <w:tc>
          <w:tcPr>
            <w:tcW w:w="1260" w:type="dxa"/>
            <w:tcBorders>
              <w:top w:val="single" w:sz="4" w:space="0" w:color="auto"/>
            </w:tcBorders>
            <w:vAlign w:val="bottom"/>
          </w:tcPr>
          <w:p w:rsidR="00071D62" w:rsidRPr="00185E72" w:rsidRDefault="00071D62" w:rsidP="004948B3">
            <w:pPr>
              <w:jc w:val="right"/>
              <w:rPr>
                <w:rFonts w:ascii="Arial" w:hAnsi="Arial" w:cs="Arial"/>
                <w:sz w:val="24"/>
                <w:szCs w:val="24"/>
              </w:rPr>
            </w:pPr>
            <w:r w:rsidRPr="00185E72">
              <w:rPr>
                <w:rFonts w:ascii="Arial" w:hAnsi="Arial" w:cs="Arial"/>
                <w:sz w:val="24"/>
                <w:szCs w:val="24"/>
              </w:rPr>
              <w:t>387</w:t>
            </w:r>
          </w:p>
        </w:tc>
      </w:tr>
      <w:tr w:rsidR="00071D62" w:rsidRPr="006862B3">
        <w:trPr>
          <w:trHeight w:val="270"/>
        </w:trPr>
        <w:tc>
          <w:tcPr>
            <w:tcW w:w="6310" w:type="dxa"/>
            <w:vAlign w:val="bottom"/>
          </w:tcPr>
          <w:p w:rsidR="00071D62" w:rsidRPr="006862B3" w:rsidRDefault="00071D62" w:rsidP="004948B3">
            <w:pPr>
              <w:rPr>
                <w:rFonts w:ascii="Arial" w:hAnsi="Arial" w:cs="Arial"/>
                <w:sz w:val="24"/>
                <w:szCs w:val="24"/>
              </w:rPr>
            </w:pPr>
            <w:r w:rsidRPr="006862B3">
              <w:rPr>
                <w:rFonts w:ascii="Arial" w:hAnsi="Arial" w:cs="Arial"/>
                <w:sz w:val="24"/>
                <w:szCs w:val="24"/>
              </w:rPr>
              <w:t>Dividends paid</w:t>
            </w:r>
          </w:p>
        </w:tc>
        <w:tc>
          <w:tcPr>
            <w:tcW w:w="1260" w:type="dxa"/>
          </w:tcPr>
          <w:p w:rsidR="00071D62" w:rsidRPr="006862B3" w:rsidRDefault="00071D62" w:rsidP="004948B3">
            <w:pPr>
              <w:jc w:val="right"/>
              <w:rPr>
                <w:rFonts w:ascii="Arial" w:hAnsi="Arial" w:cs="Arial"/>
                <w:b/>
                <w:bCs/>
                <w:sz w:val="24"/>
                <w:szCs w:val="24"/>
              </w:rPr>
            </w:pPr>
            <w:r w:rsidRPr="006862B3">
              <w:rPr>
                <w:rFonts w:ascii="Arial" w:hAnsi="Arial" w:cs="Arial"/>
                <w:b/>
                <w:bCs/>
                <w:sz w:val="24"/>
                <w:szCs w:val="24"/>
              </w:rPr>
              <w:t>(121)</w:t>
            </w:r>
          </w:p>
        </w:tc>
        <w:tc>
          <w:tcPr>
            <w:tcW w:w="1260" w:type="dxa"/>
            <w:vAlign w:val="bottom"/>
          </w:tcPr>
          <w:p w:rsidR="00071D62" w:rsidRPr="00185E72" w:rsidRDefault="00071D62" w:rsidP="004948B3">
            <w:pPr>
              <w:jc w:val="right"/>
              <w:rPr>
                <w:rFonts w:ascii="Arial" w:hAnsi="Arial" w:cs="Arial"/>
                <w:sz w:val="24"/>
                <w:szCs w:val="24"/>
              </w:rPr>
            </w:pPr>
            <w:r w:rsidRPr="00185E72">
              <w:rPr>
                <w:rFonts w:ascii="Arial" w:hAnsi="Arial" w:cs="Arial"/>
                <w:sz w:val="24"/>
                <w:szCs w:val="24"/>
              </w:rPr>
              <w:t>(84)</w:t>
            </w:r>
          </w:p>
        </w:tc>
      </w:tr>
      <w:tr w:rsidR="00071D62" w:rsidRPr="006862B3">
        <w:trPr>
          <w:trHeight w:val="270"/>
        </w:trPr>
        <w:tc>
          <w:tcPr>
            <w:tcW w:w="6310" w:type="dxa"/>
            <w:vAlign w:val="bottom"/>
          </w:tcPr>
          <w:p w:rsidR="00071D62" w:rsidRPr="006862B3" w:rsidRDefault="00071D62" w:rsidP="004948B3">
            <w:pPr>
              <w:rPr>
                <w:rFonts w:ascii="Arial" w:hAnsi="Arial" w:cs="Arial"/>
                <w:sz w:val="24"/>
                <w:szCs w:val="24"/>
              </w:rPr>
            </w:pPr>
            <w:r w:rsidRPr="006862B3">
              <w:rPr>
                <w:rFonts w:ascii="Arial" w:hAnsi="Arial" w:cs="Arial"/>
                <w:sz w:val="24"/>
                <w:szCs w:val="24"/>
              </w:rPr>
              <w:t>Share purchase</w:t>
            </w:r>
            <w:r>
              <w:rPr>
                <w:rFonts w:ascii="Arial" w:hAnsi="Arial" w:cs="Arial"/>
                <w:sz w:val="24"/>
                <w:szCs w:val="24"/>
              </w:rPr>
              <w:t xml:space="preserve"> for employee incentive schemes</w:t>
            </w:r>
          </w:p>
        </w:tc>
        <w:tc>
          <w:tcPr>
            <w:tcW w:w="1260" w:type="dxa"/>
          </w:tcPr>
          <w:p w:rsidR="00071D62" w:rsidRPr="006862B3" w:rsidRDefault="00071D62" w:rsidP="004948B3">
            <w:pPr>
              <w:jc w:val="right"/>
              <w:rPr>
                <w:rFonts w:ascii="Arial" w:hAnsi="Arial" w:cs="Arial"/>
                <w:b/>
                <w:bCs/>
                <w:sz w:val="24"/>
                <w:szCs w:val="24"/>
              </w:rPr>
            </w:pPr>
            <w:r w:rsidRPr="006862B3">
              <w:rPr>
                <w:rFonts w:ascii="Arial" w:hAnsi="Arial" w:cs="Arial"/>
                <w:b/>
                <w:bCs/>
                <w:sz w:val="24"/>
                <w:szCs w:val="24"/>
              </w:rPr>
              <w:t>(117)</w:t>
            </w:r>
          </w:p>
        </w:tc>
        <w:tc>
          <w:tcPr>
            <w:tcW w:w="1260" w:type="dxa"/>
            <w:vAlign w:val="bottom"/>
          </w:tcPr>
          <w:p w:rsidR="00071D62" w:rsidRPr="00185E72" w:rsidRDefault="00071D62" w:rsidP="004948B3">
            <w:pPr>
              <w:jc w:val="right"/>
              <w:rPr>
                <w:rFonts w:ascii="Arial" w:hAnsi="Arial" w:cs="Arial"/>
                <w:sz w:val="24"/>
                <w:szCs w:val="24"/>
              </w:rPr>
            </w:pPr>
            <w:r w:rsidRPr="00185E72">
              <w:rPr>
                <w:rFonts w:ascii="Arial" w:hAnsi="Arial" w:cs="Arial"/>
                <w:sz w:val="24"/>
                <w:szCs w:val="24"/>
              </w:rPr>
              <w:t>-</w:t>
            </w:r>
          </w:p>
        </w:tc>
      </w:tr>
      <w:tr w:rsidR="00071D62" w:rsidRPr="006862B3">
        <w:trPr>
          <w:trHeight w:val="270"/>
        </w:trPr>
        <w:tc>
          <w:tcPr>
            <w:tcW w:w="6310" w:type="dxa"/>
            <w:vAlign w:val="bottom"/>
          </w:tcPr>
          <w:p w:rsidR="00071D62" w:rsidRPr="006862B3" w:rsidRDefault="00071D62" w:rsidP="004948B3">
            <w:pPr>
              <w:rPr>
                <w:rFonts w:ascii="Arial" w:hAnsi="Arial" w:cs="Arial"/>
                <w:sz w:val="24"/>
                <w:szCs w:val="24"/>
              </w:rPr>
            </w:pPr>
            <w:r w:rsidRPr="006862B3">
              <w:rPr>
                <w:rFonts w:ascii="Arial" w:hAnsi="Arial" w:cs="Arial"/>
                <w:sz w:val="24"/>
                <w:szCs w:val="24"/>
              </w:rPr>
              <w:t>Strategic capex investments</w:t>
            </w:r>
            <w:r>
              <w:rPr>
                <w:rFonts w:ascii="Arial" w:hAnsi="Arial" w:cs="Arial"/>
                <w:sz w:val="24"/>
                <w:szCs w:val="24"/>
              </w:rPr>
              <w:t xml:space="preserve"> </w:t>
            </w:r>
            <w:r w:rsidRPr="009D2302">
              <w:rPr>
                <w:rFonts w:ascii="Arial" w:hAnsi="Arial" w:cs="Arial"/>
                <w:sz w:val="24"/>
                <w:szCs w:val="24"/>
                <w:vertAlign w:val="superscript"/>
              </w:rPr>
              <w:t>2</w:t>
            </w:r>
          </w:p>
        </w:tc>
        <w:tc>
          <w:tcPr>
            <w:tcW w:w="1260" w:type="dxa"/>
          </w:tcPr>
          <w:p w:rsidR="00071D62" w:rsidRPr="006862B3" w:rsidRDefault="00071D62" w:rsidP="004948B3">
            <w:pPr>
              <w:jc w:val="right"/>
              <w:rPr>
                <w:rFonts w:ascii="Arial" w:hAnsi="Arial" w:cs="Arial"/>
                <w:b/>
                <w:bCs/>
                <w:sz w:val="24"/>
                <w:szCs w:val="24"/>
              </w:rPr>
            </w:pPr>
          </w:p>
        </w:tc>
        <w:tc>
          <w:tcPr>
            <w:tcW w:w="1260" w:type="dxa"/>
            <w:vAlign w:val="bottom"/>
          </w:tcPr>
          <w:p w:rsidR="00071D62" w:rsidRPr="00185E72" w:rsidRDefault="00071D62" w:rsidP="004948B3">
            <w:pPr>
              <w:jc w:val="right"/>
              <w:rPr>
                <w:rFonts w:ascii="Arial" w:hAnsi="Arial" w:cs="Arial"/>
                <w:sz w:val="24"/>
                <w:szCs w:val="24"/>
              </w:rPr>
            </w:pPr>
          </w:p>
        </w:tc>
      </w:tr>
      <w:tr w:rsidR="00071D62" w:rsidRPr="006862B3">
        <w:trPr>
          <w:trHeight w:val="270"/>
        </w:trPr>
        <w:tc>
          <w:tcPr>
            <w:tcW w:w="6310" w:type="dxa"/>
            <w:vAlign w:val="bottom"/>
          </w:tcPr>
          <w:p w:rsidR="00071D62" w:rsidRPr="006862B3" w:rsidRDefault="00071D62" w:rsidP="004948B3">
            <w:pPr>
              <w:rPr>
                <w:rFonts w:ascii="Arial" w:hAnsi="Arial" w:cs="Arial"/>
                <w:sz w:val="24"/>
                <w:szCs w:val="24"/>
              </w:rPr>
            </w:pPr>
            <w:r w:rsidRPr="006862B3">
              <w:rPr>
                <w:rFonts w:ascii="Arial" w:hAnsi="Arial" w:cs="Arial"/>
                <w:sz w:val="24"/>
                <w:szCs w:val="24"/>
              </w:rPr>
              <w:t xml:space="preserve">   - Focus</w:t>
            </w:r>
          </w:p>
        </w:tc>
        <w:tc>
          <w:tcPr>
            <w:tcW w:w="1260" w:type="dxa"/>
          </w:tcPr>
          <w:p w:rsidR="00071D62" w:rsidRPr="006862B3" w:rsidRDefault="00071D62" w:rsidP="004948B3">
            <w:pPr>
              <w:jc w:val="right"/>
              <w:rPr>
                <w:rFonts w:ascii="Arial" w:hAnsi="Arial" w:cs="Arial"/>
                <w:b/>
                <w:bCs/>
                <w:sz w:val="24"/>
                <w:szCs w:val="24"/>
              </w:rPr>
            </w:pPr>
            <w:r w:rsidRPr="006862B3">
              <w:rPr>
                <w:rFonts w:ascii="Arial" w:hAnsi="Arial" w:cs="Arial"/>
                <w:b/>
                <w:bCs/>
                <w:sz w:val="24"/>
                <w:szCs w:val="24"/>
              </w:rPr>
              <w:t>(24)</w:t>
            </w:r>
          </w:p>
        </w:tc>
        <w:tc>
          <w:tcPr>
            <w:tcW w:w="1260" w:type="dxa"/>
            <w:vAlign w:val="bottom"/>
          </w:tcPr>
          <w:p w:rsidR="00071D62" w:rsidRPr="00185E72" w:rsidRDefault="00071D62" w:rsidP="004948B3">
            <w:pPr>
              <w:jc w:val="right"/>
              <w:rPr>
                <w:rFonts w:ascii="Arial" w:hAnsi="Arial" w:cs="Arial"/>
                <w:sz w:val="24"/>
                <w:szCs w:val="24"/>
              </w:rPr>
            </w:pPr>
            <w:r w:rsidRPr="00185E72">
              <w:rPr>
                <w:rFonts w:ascii="Arial" w:hAnsi="Arial" w:cs="Arial"/>
                <w:sz w:val="24"/>
                <w:szCs w:val="24"/>
              </w:rPr>
              <w:t>-</w:t>
            </w:r>
          </w:p>
        </w:tc>
      </w:tr>
      <w:tr w:rsidR="00071D62" w:rsidRPr="009D2302">
        <w:trPr>
          <w:trHeight w:val="270"/>
        </w:trPr>
        <w:tc>
          <w:tcPr>
            <w:tcW w:w="6310" w:type="dxa"/>
            <w:vAlign w:val="bottom"/>
          </w:tcPr>
          <w:p w:rsidR="00071D62" w:rsidRPr="006862B3" w:rsidRDefault="00071D62" w:rsidP="004948B3">
            <w:pPr>
              <w:rPr>
                <w:rFonts w:ascii="Arial" w:hAnsi="Arial" w:cs="Arial"/>
                <w:sz w:val="24"/>
                <w:szCs w:val="24"/>
              </w:rPr>
            </w:pPr>
            <w:r w:rsidRPr="006862B3">
              <w:rPr>
                <w:rFonts w:ascii="Arial" w:hAnsi="Arial" w:cs="Arial"/>
                <w:sz w:val="24"/>
                <w:szCs w:val="24"/>
              </w:rPr>
              <w:t xml:space="preserve">   - UK</w:t>
            </w:r>
          </w:p>
        </w:tc>
        <w:tc>
          <w:tcPr>
            <w:tcW w:w="1260" w:type="dxa"/>
          </w:tcPr>
          <w:p w:rsidR="00071D62" w:rsidRPr="006862B3" w:rsidRDefault="00071D62" w:rsidP="004948B3">
            <w:pPr>
              <w:jc w:val="right"/>
              <w:rPr>
                <w:rFonts w:ascii="Arial" w:hAnsi="Arial" w:cs="Arial"/>
                <w:b/>
                <w:bCs/>
                <w:sz w:val="24"/>
                <w:szCs w:val="24"/>
              </w:rPr>
            </w:pPr>
            <w:r w:rsidRPr="006862B3">
              <w:rPr>
                <w:rFonts w:ascii="Arial" w:hAnsi="Arial" w:cs="Arial"/>
                <w:b/>
                <w:bCs/>
                <w:sz w:val="24"/>
                <w:szCs w:val="24"/>
              </w:rPr>
              <w:t>(64)</w:t>
            </w:r>
          </w:p>
        </w:tc>
        <w:tc>
          <w:tcPr>
            <w:tcW w:w="1260" w:type="dxa"/>
            <w:vAlign w:val="bottom"/>
          </w:tcPr>
          <w:p w:rsidR="00071D62" w:rsidRPr="00185E72" w:rsidRDefault="00071D62" w:rsidP="004948B3">
            <w:pPr>
              <w:jc w:val="right"/>
              <w:rPr>
                <w:rFonts w:ascii="Arial" w:hAnsi="Arial" w:cs="Arial"/>
                <w:sz w:val="24"/>
                <w:szCs w:val="24"/>
              </w:rPr>
            </w:pPr>
            <w:r w:rsidRPr="00185E72">
              <w:rPr>
                <w:rFonts w:ascii="Arial" w:hAnsi="Arial" w:cs="Arial"/>
                <w:sz w:val="24"/>
                <w:szCs w:val="24"/>
              </w:rPr>
              <w:t>-</w:t>
            </w:r>
          </w:p>
        </w:tc>
      </w:tr>
      <w:tr w:rsidR="00071D62" w:rsidRPr="009D2302">
        <w:trPr>
          <w:trHeight w:val="270"/>
        </w:trPr>
        <w:tc>
          <w:tcPr>
            <w:tcW w:w="6310" w:type="dxa"/>
            <w:tcBorders>
              <w:bottom w:val="single" w:sz="4" w:space="0" w:color="auto"/>
            </w:tcBorders>
            <w:vAlign w:val="bottom"/>
          </w:tcPr>
          <w:p w:rsidR="00071D62" w:rsidRPr="009D2302" w:rsidRDefault="00071D62" w:rsidP="004948B3">
            <w:pPr>
              <w:rPr>
                <w:rFonts w:ascii="Arial" w:hAnsi="Arial" w:cs="Arial"/>
                <w:sz w:val="24"/>
                <w:szCs w:val="24"/>
              </w:rPr>
            </w:pPr>
            <w:r w:rsidRPr="009D2302">
              <w:rPr>
                <w:rFonts w:ascii="Arial" w:hAnsi="Arial" w:cs="Arial"/>
                <w:sz w:val="24"/>
                <w:szCs w:val="24"/>
              </w:rPr>
              <w:t xml:space="preserve">Other </w:t>
            </w:r>
            <w:r>
              <w:rPr>
                <w:rFonts w:ascii="Arial" w:hAnsi="Arial" w:cs="Arial"/>
                <w:sz w:val="24"/>
                <w:szCs w:val="24"/>
                <w:vertAlign w:val="superscript"/>
              </w:rPr>
              <w:t>3</w:t>
            </w:r>
          </w:p>
        </w:tc>
        <w:tc>
          <w:tcPr>
            <w:tcW w:w="1260" w:type="dxa"/>
            <w:tcBorders>
              <w:bottom w:val="single" w:sz="4" w:space="0" w:color="auto"/>
            </w:tcBorders>
          </w:tcPr>
          <w:p w:rsidR="00071D62" w:rsidRPr="009D2302" w:rsidRDefault="00071D62" w:rsidP="004948B3">
            <w:pPr>
              <w:jc w:val="right"/>
              <w:rPr>
                <w:rFonts w:ascii="Arial" w:hAnsi="Arial" w:cs="Arial"/>
                <w:b/>
                <w:bCs/>
                <w:sz w:val="24"/>
                <w:szCs w:val="24"/>
              </w:rPr>
            </w:pPr>
            <w:r>
              <w:rPr>
                <w:rFonts w:ascii="Arial" w:hAnsi="Arial" w:cs="Arial"/>
                <w:b/>
                <w:bCs/>
                <w:sz w:val="24"/>
                <w:szCs w:val="24"/>
              </w:rPr>
              <w:t>(4</w:t>
            </w:r>
            <w:r w:rsidRPr="009D2302">
              <w:rPr>
                <w:rFonts w:ascii="Arial" w:hAnsi="Arial" w:cs="Arial"/>
                <w:b/>
                <w:bCs/>
                <w:sz w:val="24"/>
                <w:szCs w:val="24"/>
              </w:rPr>
              <w:t>)</w:t>
            </w:r>
          </w:p>
        </w:tc>
        <w:tc>
          <w:tcPr>
            <w:tcW w:w="1260" w:type="dxa"/>
            <w:tcBorders>
              <w:bottom w:val="single" w:sz="4" w:space="0" w:color="auto"/>
            </w:tcBorders>
            <w:vAlign w:val="bottom"/>
          </w:tcPr>
          <w:p w:rsidR="00071D62" w:rsidRPr="00185E72" w:rsidRDefault="00071D62" w:rsidP="004948B3">
            <w:pPr>
              <w:jc w:val="right"/>
              <w:rPr>
                <w:rFonts w:ascii="Arial" w:hAnsi="Arial" w:cs="Arial"/>
                <w:sz w:val="24"/>
                <w:szCs w:val="24"/>
              </w:rPr>
            </w:pPr>
            <w:r w:rsidRPr="00185E72">
              <w:rPr>
                <w:rFonts w:ascii="Arial" w:hAnsi="Arial" w:cs="Arial"/>
                <w:sz w:val="24"/>
                <w:szCs w:val="24"/>
              </w:rPr>
              <w:t>(5)</w:t>
            </w:r>
          </w:p>
        </w:tc>
      </w:tr>
      <w:tr w:rsidR="00071D62" w:rsidRPr="009D2302">
        <w:trPr>
          <w:trHeight w:val="270"/>
        </w:trPr>
        <w:tc>
          <w:tcPr>
            <w:tcW w:w="6310" w:type="dxa"/>
            <w:tcBorders>
              <w:top w:val="single" w:sz="4" w:space="0" w:color="auto"/>
            </w:tcBorders>
            <w:vAlign w:val="bottom"/>
          </w:tcPr>
          <w:p w:rsidR="00071D62" w:rsidRPr="009D2302" w:rsidRDefault="00071D62" w:rsidP="004948B3">
            <w:pPr>
              <w:rPr>
                <w:rFonts w:ascii="Arial" w:hAnsi="Arial" w:cs="Arial"/>
                <w:b/>
                <w:bCs/>
                <w:sz w:val="24"/>
                <w:szCs w:val="24"/>
              </w:rPr>
            </w:pPr>
            <w:r w:rsidRPr="009D2302">
              <w:rPr>
                <w:rFonts w:ascii="Arial" w:hAnsi="Arial" w:cs="Arial"/>
                <w:b/>
                <w:bCs/>
                <w:sz w:val="24"/>
                <w:szCs w:val="24"/>
              </w:rPr>
              <w:t xml:space="preserve">Cash flow movement in net </w:t>
            </w:r>
            <w:r>
              <w:rPr>
                <w:rFonts w:ascii="Arial" w:hAnsi="Arial" w:cs="Arial"/>
                <w:b/>
                <w:bCs/>
                <w:sz w:val="24"/>
                <w:szCs w:val="24"/>
              </w:rPr>
              <w:t>(</w:t>
            </w:r>
            <w:r w:rsidRPr="009D2302">
              <w:rPr>
                <w:rFonts w:ascii="Arial" w:hAnsi="Arial" w:cs="Arial"/>
                <w:b/>
                <w:bCs/>
                <w:sz w:val="24"/>
                <w:szCs w:val="24"/>
              </w:rPr>
              <w:t>debt</w:t>
            </w:r>
            <w:r>
              <w:rPr>
                <w:rFonts w:ascii="Arial" w:hAnsi="Arial" w:cs="Arial"/>
                <w:b/>
                <w:bCs/>
                <w:sz w:val="24"/>
                <w:szCs w:val="24"/>
              </w:rPr>
              <w:t>)/cash</w:t>
            </w:r>
          </w:p>
        </w:tc>
        <w:tc>
          <w:tcPr>
            <w:tcW w:w="1260" w:type="dxa"/>
            <w:tcBorders>
              <w:top w:val="single" w:sz="4" w:space="0" w:color="auto"/>
            </w:tcBorders>
          </w:tcPr>
          <w:p w:rsidR="00071D62" w:rsidRPr="009D2302" w:rsidRDefault="00071D62" w:rsidP="004948B3">
            <w:pPr>
              <w:jc w:val="right"/>
              <w:rPr>
                <w:rFonts w:ascii="Arial" w:hAnsi="Arial" w:cs="Arial"/>
                <w:b/>
                <w:bCs/>
                <w:sz w:val="24"/>
                <w:szCs w:val="24"/>
              </w:rPr>
            </w:pPr>
            <w:r w:rsidRPr="009D2302">
              <w:rPr>
                <w:rFonts w:ascii="Arial" w:hAnsi="Arial" w:cs="Arial"/>
                <w:b/>
                <w:bCs/>
                <w:sz w:val="24"/>
                <w:szCs w:val="24"/>
              </w:rPr>
              <w:t>(197)</w:t>
            </w:r>
          </w:p>
        </w:tc>
        <w:tc>
          <w:tcPr>
            <w:tcW w:w="1260" w:type="dxa"/>
            <w:tcBorders>
              <w:top w:val="single" w:sz="4" w:space="0" w:color="auto"/>
            </w:tcBorders>
            <w:vAlign w:val="bottom"/>
          </w:tcPr>
          <w:p w:rsidR="00071D62" w:rsidRPr="00185E72" w:rsidRDefault="00071D62" w:rsidP="004948B3">
            <w:pPr>
              <w:jc w:val="right"/>
              <w:rPr>
                <w:rFonts w:ascii="Arial" w:hAnsi="Arial" w:cs="Arial"/>
                <w:sz w:val="24"/>
                <w:szCs w:val="24"/>
              </w:rPr>
            </w:pPr>
            <w:r w:rsidRPr="00185E72">
              <w:rPr>
                <w:rFonts w:ascii="Arial" w:hAnsi="Arial" w:cs="Arial"/>
                <w:sz w:val="24"/>
                <w:szCs w:val="24"/>
              </w:rPr>
              <w:t>298</w:t>
            </w:r>
          </w:p>
        </w:tc>
      </w:tr>
      <w:tr w:rsidR="00071D62" w:rsidRPr="00EE25F8">
        <w:trPr>
          <w:trHeight w:val="270"/>
        </w:trPr>
        <w:tc>
          <w:tcPr>
            <w:tcW w:w="6310" w:type="dxa"/>
            <w:vAlign w:val="bottom"/>
          </w:tcPr>
          <w:p w:rsidR="00071D62" w:rsidRPr="00EE25F8" w:rsidRDefault="00071D62" w:rsidP="004948B3">
            <w:pPr>
              <w:rPr>
                <w:rFonts w:ascii="Arial" w:hAnsi="Arial" w:cs="Arial"/>
                <w:sz w:val="24"/>
                <w:szCs w:val="24"/>
              </w:rPr>
            </w:pPr>
            <w:r w:rsidRPr="00EE25F8">
              <w:rPr>
                <w:rFonts w:ascii="Arial" w:hAnsi="Arial" w:cs="Arial"/>
                <w:sz w:val="24"/>
                <w:szCs w:val="24"/>
              </w:rPr>
              <w:t xml:space="preserve">Opening </w:t>
            </w:r>
            <w:r w:rsidRPr="00F53F2D">
              <w:rPr>
                <w:rFonts w:ascii="Arial" w:hAnsi="Arial" w:cs="Arial"/>
                <w:sz w:val="24"/>
                <w:szCs w:val="24"/>
              </w:rPr>
              <w:t>net (debt)/cash</w:t>
            </w:r>
          </w:p>
        </w:tc>
        <w:tc>
          <w:tcPr>
            <w:tcW w:w="1260" w:type="dxa"/>
          </w:tcPr>
          <w:p w:rsidR="00071D62" w:rsidRPr="00DC1C03" w:rsidRDefault="00071D62" w:rsidP="004948B3">
            <w:pPr>
              <w:jc w:val="right"/>
              <w:rPr>
                <w:rFonts w:ascii="Arial" w:hAnsi="Arial" w:cs="Arial"/>
                <w:b/>
                <w:bCs/>
                <w:sz w:val="24"/>
                <w:szCs w:val="24"/>
              </w:rPr>
            </w:pPr>
            <w:r w:rsidRPr="00DC1C03">
              <w:rPr>
                <w:rFonts w:ascii="Arial" w:hAnsi="Arial" w:cs="Arial"/>
                <w:b/>
                <w:bCs/>
                <w:sz w:val="24"/>
                <w:szCs w:val="24"/>
              </w:rPr>
              <w:t>14</w:t>
            </w:r>
          </w:p>
        </w:tc>
        <w:tc>
          <w:tcPr>
            <w:tcW w:w="1260" w:type="dxa"/>
            <w:vAlign w:val="bottom"/>
          </w:tcPr>
          <w:p w:rsidR="00071D62" w:rsidRPr="00185E72" w:rsidRDefault="00071D62" w:rsidP="004948B3">
            <w:pPr>
              <w:jc w:val="right"/>
              <w:rPr>
                <w:rFonts w:ascii="Arial" w:hAnsi="Arial" w:cs="Arial"/>
                <w:sz w:val="24"/>
                <w:szCs w:val="24"/>
              </w:rPr>
            </w:pPr>
            <w:r w:rsidRPr="00185E72">
              <w:rPr>
                <w:rFonts w:ascii="Arial" w:hAnsi="Arial" w:cs="Arial"/>
                <w:sz w:val="24"/>
                <w:szCs w:val="24"/>
              </w:rPr>
              <w:t>(250)</w:t>
            </w:r>
          </w:p>
        </w:tc>
      </w:tr>
      <w:tr w:rsidR="00071D62" w:rsidRPr="00EE25F8">
        <w:trPr>
          <w:trHeight w:val="270"/>
        </w:trPr>
        <w:tc>
          <w:tcPr>
            <w:tcW w:w="6310" w:type="dxa"/>
            <w:tcBorders>
              <w:bottom w:val="single" w:sz="4" w:space="0" w:color="auto"/>
            </w:tcBorders>
            <w:vAlign w:val="bottom"/>
          </w:tcPr>
          <w:p w:rsidR="00071D62" w:rsidRPr="00EE25F8" w:rsidRDefault="00071D62" w:rsidP="004948B3">
            <w:pPr>
              <w:rPr>
                <w:rFonts w:ascii="Arial" w:hAnsi="Arial" w:cs="Arial"/>
                <w:sz w:val="24"/>
                <w:szCs w:val="24"/>
              </w:rPr>
            </w:pPr>
            <w:r w:rsidRPr="00EE25F8">
              <w:rPr>
                <w:rFonts w:ascii="Arial" w:hAnsi="Arial" w:cs="Arial"/>
                <w:sz w:val="24"/>
                <w:szCs w:val="24"/>
              </w:rPr>
              <w:t>FX impacts</w:t>
            </w:r>
          </w:p>
        </w:tc>
        <w:tc>
          <w:tcPr>
            <w:tcW w:w="1260" w:type="dxa"/>
            <w:tcBorders>
              <w:bottom w:val="single" w:sz="4" w:space="0" w:color="auto"/>
            </w:tcBorders>
          </w:tcPr>
          <w:p w:rsidR="00071D62" w:rsidRPr="00DC1C03" w:rsidRDefault="00071D62" w:rsidP="004948B3">
            <w:pPr>
              <w:jc w:val="right"/>
              <w:rPr>
                <w:rFonts w:ascii="Arial" w:hAnsi="Arial" w:cs="Arial"/>
                <w:b/>
                <w:bCs/>
                <w:sz w:val="24"/>
                <w:szCs w:val="24"/>
              </w:rPr>
            </w:pPr>
            <w:r w:rsidRPr="00DC1C03">
              <w:rPr>
                <w:rFonts w:ascii="Arial" w:hAnsi="Arial" w:cs="Arial"/>
                <w:b/>
                <w:bCs/>
                <w:sz w:val="24"/>
                <w:szCs w:val="24"/>
              </w:rPr>
              <w:t>(3)</w:t>
            </w:r>
          </w:p>
        </w:tc>
        <w:tc>
          <w:tcPr>
            <w:tcW w:w="1260" w:type="dxa"/>
            <w:tcBorders>
              <w:bottom w:val="single" w:sz="4" w:space="0" w:color="auto"/>
            </w:tcBorders>
            <w:vAlign w:val="bottom"/>
          </w:tcPr>
          <w:p w:rsidR="00071D62" w:rsidRPr="00185E72" w:rsidRDefault="00071D62" w:rsidP="004948B3">
            <w:pPr>
              <w:jc w:val="right"/>
              <w:rPr>
                <w:rFonts w:ascii="Arial" w:hAnsi="Arial" w:cs="Arial"/>
                <w:sz w:val="24"/>
                <w:szCs w:val="24"/>
              </w:rPr>
            </w:pPr>
            <w:r w:rsidRPr="00185E72">
              <w:rPr>
                <w:rFonts w:ascii="Arial" w:hAnsi="Arial" w:cs="Arial"/>
                <w:sz w:val="24"/>
                <w:szCs w:val="24"/>
              </w:rPr>
              <w:t>(29)</w:t>
            </w:r>
          </w:p>
        </w:tc>
      </w:tr>
      <w:tr w:rsidR="00071D62" w:rsidRPr="009D2302">
        <w:trPr>
          <w:trHeight w:val="270"/>
        </w:trPr>
        <w:tc>
          <w:tcPr>
            <w:tcW w:w="6310" w:type="dxa"/>
            <w:tcBorders>
              <w:top w:val="single" w:sz="4" w:space="0" w:color="auto"/>
              <w:bottom w:val="single" w:sz="4" w:space="0" w:color="auto"/>
            </w:tcBorders>
            <w:vAlign w:val="bottom"/>
          </w:tcPr>
          <w:p w:rsidR="00071D62" w:rsidRPr="009D2302" w:rsidRDefault="00071D62" w:rsidP="004948B3">
            <w:pPr>
              <w:rPr>
                <w:rFonts w:ascii="Arial" w:hAnsi="Arial" w:cs="Arial"/>
                <w:b/>
                <w:bCs/>
                <w:sz w:val="24"/>
                <w:szCs w:val="24"/>
              </w:rPr>
            </w:pPr>
            <w:r>
              <w:rPr>
                <w:rFonts w:ascii="Arial" w:hAnsi="Arial" w:cs="Arial"/>
                <w:b/>
                <w:bCs/>
                <w:sz w:val="24"/>
                <w:szCs w:val="24"/>
              </w:rPr>
              <w:t>Closing net (debt)/cash</w:t>
            </w:r>
          </w:p>
        </w:tc>
        <w:tc>
          <w:tcPr>
            <w:tcW w:w="1260" w:type="dxa"/>
            <w:tcBorders>
              <w:top w:val="single" w:sz="4" w:space="0" w:color="auto"/>
              <w:bottom w:val="single" w:sz="4" w:space="0" w:color="auto"/>
            </w:tcBorders>
          </w:tcPr>
          <w:p w:rsidR="00071D62" w:rsidRPr="009D2302" w:rsidRDefault="00071D62" w:rsidP="004948B3">
            <w:pPr>
              <w:jc w:val="right"/>
              <w:rPr>
                <w:rFonts w:ascii="Arial" w:hAnsi="Arial" w:cs="Arial"/>
                <w:b/>
                <w:bCs/>
                <w:sz w:val="24"/>
                <w:szCs w:val="24"/>
              </w:rPr>
            </w:pPr>
            <w:r>
              <w:rPr>
                <w:rFonts w:ascii="Arial" w:hAnsi="Arial" w:cs="Arial"/>
                <w:b/>
                <w:bCs/>
                <w:sz w:val="24"/>
                <w:szCs w:val="24"/>
              </w:rPr>
              <w:t>(186</w:t>
            </w:r>
            <w:r w:rsidRPr="009D2302">
              <w:rPr>
                <w:rFonts w:ascii="Arial" w:hAnsi="Arial" w:cs="Arial"/>
                <w:b/>
                <w:bCs/>
                <w:sz w:val="24"/>
                <w:szCs w:val="24"/>
              </w:rPr>
              <w:t>)</w:t>
            </w:r>
          </w:p>
        </w:tc>
        <w:tc>
          <w:tcPr>
            <w:tcW w:w="1260" w:type="dxa"/>
            <w:tcBorders>
              <w:top w:val="single" w:sz="4" w:space="0" w:color="auto"/>
              <w:bottom w:val="single" w:sz="4" w:space="0" w:color="auto"/>
            </w:tcBorders>
            <w:vAlign w:val="bottom"/>
          </w:tcPr>
          <w:p w:rsidR="00071D62" w:rsidRPr="00185E72" w:rsidRDefault="00071D62" w:rsidP="004948B3">
            <w:pPr>
              <w:jc w:val="right"/>
              <w:rPr>
                <w:rFonts w:ascii="Arial" w:hAnsi="Arial" w:cs="Arial"/>
                <w:sz w:val="24"/>
                <w:szCs w:val="24"/>
              </w:rPr>
            </w:pPr>
            <w:r w:rsidRPr="00185E72">
              <w:rPr>
                <w:rFonts w:ascii="Arial" w:hAnsi="Arial" w:cs="Arial"/>
                <w:sz w:val="24"/>
                <w:szCs w:val="24"/>
              </w:rPr>
              <w:t>19</w:t>
            </w:r>
          </w:p>
        </w:tc>
      </w:tr>
    </w:tbl>
    <w:p w:rsidR="00071D62" w:rsidRPr="00FB458E" w:rsidRDefault="00071D62" w:rsidP="00995156">
      <w:pPr>
        <w:ind w:right="-368"/>
        <w:jc w:val="left"/>
        <w:rPr>
          <w:rFonts w:ascii="Arial" w:hAnsi="Arial" w:cs="Arial"/>
          <w:sz w:val="24"/>
          <w:szCs w:val="24"/>
        </w:rPr>
      </w:pPr>
    </w:p>
    <w:p w:rsidR="00071D62" w:rsidRPr="00AC454C" w:rsidRDefault="00071D62" w:rsidP="00995156">
      <w:pPr>
        <w:ind w:right="-368"/>
        <w:jc w:val="left"/>
        <w:rPr>
          <w:rFonts w:ascii="Arial" w:hAnsi="Arial" w:cs="Arial"/>
          <w:i/>
          <w:iCs/>
          <w:sz w:val="18"/>
          <w:szCs w:val="18"/>
        </w:rPr>
      </w:pPr>
      <w:r w:rsidRPr="00AC454C">
        <w:rPr>
          <w:rFonts w:ascii="Arial" w:hAnsi="Arial" w:cs="Arial"/>
          <w:i/>
          <w:iCs/>
          <w:sz w:val="18"/>
          <w:szCs w:val="18"/>
          <w:vertAlign w:val="superscript"/>
        </w:rPr>
        <w:t>1</w:t>
      </w:r>
      <w:r>
        <w:rPr>
          <w:rFonts w:ascii="Arial" w:hAnsi="Arial" w:cs="Arial"/>
          <w:i/>
          <w:iCs/>
          <w:sz w:val="18"/>
          <w:szCs w:val="18"/>
        </w:rPr>
        <w:t xml:space="preserve"> </w:t>
      </w:r>
      <w:r w:rsidRPr="00AC454C">
        <w:rPr>
          <w:rFonts w:ascii="Arial" w:hAnsi="Arial" w:cs="Arial"/>
          <w:i/>
          <w:iCs/>
          <w:sz w:val="18"/>
          <w:szCs w:val="18"/>
        </w:rPr>
        <w:t>Includes depreciation and amortisation, share-based compensation charge, pre-exceptional non cash movement in pensions and provisions, share of post-tax results of JVs and associates and profit/loss on retail disposals.</w:t>
      </w:r>
    </w:p>
    <w:p w:rsidR="00071D62" w:rsidRDefault="00071D62" w:rsidP="00DB1D88">
      <w:pPr>
        <w:ind w:right="-368"/>
        <w:jc w:val="left"/>
        <w:rPr>
          <w:rFonts w:ascii="Arial" w:hAnsi="Arial" w:cs="Arial"/>
          <w:i/>
          <w:iCs/>
          <w:sz w:val="18"/>
          <w:szCs w:val="18"/>
          <w:vertAlign w:val="superscript"/>
        </w:rPr>
      </w:pPr>
      <w:r w:rsidRPr="00AC454C">
        <w:rPr>
          <w:rFonts w:ascii="Arial" w:hAnsi="Arial" w:cs="Arial"/>
          <w:i/>
          <w:iCs/>
          <w:sz w:val="18"/>
          <w:szCs w:val="18"/>
          <w:vertAlign w:val="superscript"/>
        </w:rPr>
        <w:t>2</w:t>
      </w:r>
      <w:r>
        <w:rPr>
          <w:rFonts w:ascii="Arial" w:hAnsi="Arial" w:cs="Arial"/>
          <w:i/>
          <w:iCs/>
          <w:sz w:val="18"/>
          <w:szCs w:val="18"/>
          <w:vertAlign w:val="superscript"/>
        </w:rPr>
        <w:t xml:space="preserve"> </w:t>
      </w:r>
      <w:r w:rsidRPr="001E35B4">
        <w:rPr>
          <w:rFonts w:ascii="Arial" w:hAnsi="Arial" w:cs="Arial"/>
          <w:i/>
          <w:iCs/>
          <w:sz w:val="18"/>
          <w:szCs w:val="18"/>
        </w:rPr>
        <w:t>Investments of a on</w:t>
      </w:r>
      <w:r>
        <w:rPr>
          <w:rFonts w:ascii="Arial" w:hAnsi="Arial" w:cs="Arial"/>
          <w:i/>
          <w:iCs/>
          <w:sz w:val="18"/>
          <w:szCs w:val="18"/>
        </w:rPr>
        <w:t>e</w:t>
      </w:r>
      <w:r w:rsidRPr="001E35B4">
        <w:rPr>
          <w:rFonts w:ascii="Arial" w:hAnsi="Arial" w:cs="Arial"/>
          <w:i/>
          <w:iCs/>
          <w:sz w:val="18"/>
          <w:szCs w:val="18"/>
        </w:rPr>
        <w:t>-off nature, such a</w:t>
      </w:r>
      <w:r>
        <w:rPr>
          <w:rFonts w:ascii="Arial" w:hAnsi="Arial" w:cs="Arial"/>
          <w:i/>
          <w:iCs/>
          <w:sz w:val="18"/>
          <w:szCs w:val="18"/>
        </w:rPr>
        <w:t>s bolt-on acquisitions and buy outs of freehold in existing leased stores</w:t>
      </w:r>
    </w:p>
    <w:p w:rsidR="00071D62" w:rsidRPr="00FB458E" w:rsidRDefault="00071D62" w:rsidP="00995156">
      <w:pPr>
        <w:ind w:right="-368"/>
        <w:jc w:val="left"/>
        <w:rPr>
          <w:rFonts w:ascii="Arial" w:hAnsi="Arial" w:cs="Arial"/>
          <w:i/>
          <w:iCs/>
          <w:sz w:val="18"/>
          <w:szCs w:val="18"/>
        </w:rPr>
      </w:pPr>
      <w:r>
        <w:rPr>
          <w:rFonts w:ascii="Arial" w:hAnsi="Arial" w:cs="Arial"/>
          <w:i/>
          <w:iCs/>
          <w:sz w:val="18"/>
          <w:szCs w:val="18"/>
          <w:vertAlign w:val="superscript"/>
        </w:rPr>
        <w:lastRenderedPageBreak/>
        <w:t>3</w:t>
      </w:r>
      <w:r w:rsidRPr="00AC454C">
        <w:rPr>
          <w:rFonts w:ascii="Arial" w:hAnsi="Arial" w:cs="Arial"/>
          <w:i/>
          <w:iCs/>
          <w:sz w:val="18"/>
          <w:szCs w:val="18"/>
        </w:rPr>
        <w:t xml:space="preserve"> Includes dividends received from JVs and associates, issue of share capital to equity shareholders</w:t>
      </w:r>
      <w:r>
        <w:rPr>
          <w:rFonts w:ascii="Arial" w:hAnsi="Arial" w:cs="Arial"/>
          <w:i/>
          <w:iCs/>
          <w:sz w:val="18"/>
          <w:szCs w:val="18"/>
        </w:rPr>
        <w:t xml:space="preserve">, </w:t>
      </w:r>
      <w:r w:rsidRPr="00AC454C">
        <w:rPr>
          <w:rFonts w:ascii="Arial" w:hAnsi="Arial" w:cs="Arial"/>
          <w:i/>
          <w:iCs/>
          <w:sz w:val="18"/>
          <w:szCs w:val="18"/>
        </w:rPr>
        <w:t>disposal of own shares</w:t>
      </w:r>
      <w:r>
        <w:rPr>
          <w:rFonts w:ascii="Arial" w:hAnsi="Arial" w:cs="Arial"/>
          <w:i/>
          <w:iCs/>
          <w:sz w:val="18"/>
          <w:szCs w:val="18"/>
        </w:rPr>
        <w:t>, business acquisitions and cash utilisation of exceptional items.</w:t>
      </w:r>
    </w:p>
    <w:p w:rsidR="00071D62" w:rsidRPr="006864A4" w:rsidRDefault="00071D62" w:rsidP="00995156">
      <w:pPr>
        <w:ind w:right="-368"/>
        <w:jc w:val="left"/>
        <w:rPr>
          <w:rFonts w:ascii="Arial" w:hAnsi="Arial" w:cs="Arial"/>
          <w:b/>
          <w:bCs/>
          <w:color w:val="FF0000"/>
          <w:sz w:val="24"/>
          <w:szCs w:val="24"/>
        </w:rPr>
      </w:pPr>
    </w:p>
    <w:p w:rsidR="00071D62" w:rsidRPr="00EF0E5D" w:rsidRDefault="00071D62" w:rsidP="004948B3">
      <w:pPr>
        <w:jc w:val="left"/>
        <w:rPr>
          <w:rFonts w:ascii="Arial" w:hAnsi="Arial" w:cs="Arial"/>
          <w:sz w:val="24"/>
          <w:szCs w:val="24"/>
        </w:rPr>
      </w:pPr>
      <w:r w:rsidRPr="006864A4">
        <w:rPr>
          <w:rFonts w:ascii="Arial" w:hAnsi="Arial" w:cs="Arial"/>
          <w:b/>
          <w:bCs/>
          <w:sz w:val="24"/>
          <w:szCs w:val="24"/>
        </w:rPr>
        <w:t>Free cash flow</w:t>
      </w:r>
      <w:r w:rsidRPr="00697FEB">
        <w:rPr>
          <w:rFonts w:ascii="Arial" w:hAnsi="Arial" w:cs="Arial"/>
          <w:sz w:val="24"/>
          <w:szCs w:val="24"/>
        </w:rPr>
        <w:t xml:space="preserve"> </w:t>
      </w:r>
      <w:r>
        <w:rPr>
          <w:rFonts w:ascii="Arial" w:hAnsi="Arial" w:cs="Arial"/>
          <w:sz w:val="24"/>
          <w:szCs w:val="24"/>
        </w:rPr>
        <w:t>of £</w:t>
      </w:r>
      <w:r w:rsidRPr="00697FEB">
        <w:rPr>
          <w:rFonts w:ascii="Arial" w:hAnsi="Arial" w:cs="Arial"/>
          <w:sz w:val="24"/>
          <w:szCs w:val="24"/>
        </w:rPr>
        <w:t xml:space="preserve">133 million </w:t>
      </w:r>
      <w:r>
        <w:rPr>
          <w:rFonts w:ascii="Arial" w:hAnsi="Arial" w:cs="Arial"/>
          <w:sz w:val="24"/>
          <w:szCs w:val="24"/>
        </w:rPr>
        <w:t xml:space="preserve">was generated </w:t>
      </w:r>
      <w:r w:rsidRPr="00697FEB">
        <w:rPr>
          <w:rFonts w:ascii="Arial" w:hAnsi="Arial" w:cs="Arial"/>
          <w:sz w:val="24"/>
          <w:szCs w:val="24"/>
        </w:rPr>
        <w:t xml:space="preserve">in the </w:t>
      </w:r>
      <w:r>
        <w:rPr>
          <w:rFonts w:ascii="Arial" w:hAnsi="Arial" w:cs="Arial"/>
          <w:sz w:val="24"/>
          <w:szCs w:val="24"/>
        </w:rPr>
        <w:t>period</w:t>
      </w:r>
      <w:r w:rsidRPr="00697FEB">
        <w:rPr>
          <w:rFonts w:ascii="Arial" w:hAnsi="Arial" w:cs="Arial"/>
          <w:sz w:val="24"/>
          <w:szCs w:val="24"/>
        </w:rPr>
        <w:t xml:space="preserve">, a </w:t>
      </w:r>
      <w:r>
        <w:rPr>
          <w:rFonts w:ascii="Arial" w:hAnsi="Arial" w:cs="Arial"/>
          <w:sz w:val="24"/>
          <w:szCs w:val="24"/>
        </w:rPr>
        <w:t>decrease</w:t>
      </w:r>
      <w:r w:rsidRPr="00697FEB">
        <w:rPr>
          <w:rFonts w:ascii="Arial" w:hAnsi="Arial" w:cs="Arial"/>
          <w:sz w:val="24"/>
          <w:szCs w:val="24"/>
        </w:rPr>
        <w:t xml:space="preserve"> of £254 million year on year</w:t>
      </w:r>
      <w:r w:rsidRPr="00EF0E5D">
        <w:rPr>
          <w:rFonts w:ascii="Arial" w:hAnsi="Arial" w:cs="Arial"/>
          <w:sz w:val="24"/>
          <w:szCs w:val="24"/>
        </w:rPr>
        <w:t xml:space="preserve"> </w:t>
      </w:r>
      <w:r>
        <w:rPr>
          <w:rFonts w:ascii="Arial" w:hAnsi="Arial" w:cs="Arial"/>
          <w:sz w:val="24"/>
          <w:szCs w:val="24"/>
        </w:rPr>
        <w:t xml:space="preserve">due to </w:t>
      </w:r>
      <w:r w:rsidRPr="00EF0E5D">
        <w:rPr>
          <w:rFonts w:ascii="Arial" w:hAnsi="Arial" w:cs="Arial"/>
          <w:sz w:val="24"/>
          <w:szCs w:val="24"/>
        </w:rPr>
        <w:t>increases in working capital and net capex which were partially offset by the increase in operating profit.</w:t>
      </w:r>
    </w:p>
    <w:p w:rsidR="00071D62" w:rsidRPr="00EF0E5D" w:rsidRDefault="00071D62" w:rsidP="004948B3">
      <w:pPr>
        <w:jc w:val="left"/>
        <w:rPr>
          <w:rFonts w:ascii="Arial" w:hAnsi="Arial" w:cs="Arial"/>
          <w:sz w:val="24"/>
          <w:szCs w:val="24"/>
        </w:rPr>
      </w:pPr>
    </w:p>
    <w:p w:rsidR="00071D62" w:rsidRPr="00EF0E5D" w:rsidRDefault="00071D62" w:rsidP="004948B3">
      <w:pPr>
        <w:jc w:val="left"/>
        <w:rPr>
          <w:rFonts w:ascii="Arial" w:hAnsi="Arial" w:cs="Arial"/>
          <w:sz w:val="24"/>
          <w:szCs w:val="24"/>
        </w:rPr>
      </w:pPr>
      <w:r w:rsidRPr="00EF0E5D">
        <w:rPr>
          <w:rFonts w:ascii="Arial" w:hAnsi="Arial" w:cs="Arial"/>
          <w:sz w:val="24"/>
          <w:szCs w:val="24"/>
        </w:rPr>
        <w:t xml:space="preserve">As anticipated working capital has increased during the period driven by new stores, higher </w:t>
      </w:r>
      <w:r>
        <w:rPr>
          <w:rFonts w:ascii="Arial" w:hAnsi="Arial" w:cs="Arial"/>
          <w:sz w:val="24"/>
          <w:szCs w:val="24"/>
        </w:rPr>
        <w:t xml:space="preserve">import </w:t>
      </w:r>
      <w:r w:rsidRPr="00EF0E5D">
        <w:rPr>
          <w:rFonts w:ascii="Arial" w:hAnsi="Arial" w:cs="Arial"/>
          <w:sz w:val="24"/>
          <w:szCs w:val="24"/>
        </w:rPr>
        <w:t>stock holdings and LME</w:t>
      </w:r>
      <w:r>
        <w:rPr>
          <w:rFonts w:ascii="Arial" w:hAnsi="Arial" w:cs="Arial"/>
          <w:sz w:val="24"/>
          <w:szCs w:val="24"/>
        </w:rPr>
        <w:t xml:space="preserve"> </w:t>
      </w:r>
      <w:r>
        <w:rPr>
          <w:rFonts w:ascii="Arial" w:hAnsi="Arial" w:cs="Arial"/>
          <w:sz w:val="24"/>
          <w:szCs w:val="24"/>
          <w:vertAlign w:val="superscript"/>
        </w:rPr>
        <w:t>1</w:t>
      </w:r>
      <w:r w:rsidRPr="00EF0E5D">
        <w:rPr>
          <w:rFonts w:ascii="Arial" w:hAnsi="Arial" w:cs="Arial"/>
          <w:sz w:val="24"/>
          <w:szCs w:val="24"/>
        </w:rPr>
        <w:t xml:space="preserve"> (impact £</w:t>
      </w:r>
      <w:r>
        <w:rPr>
          <w:rFonts w:ascii="Arial" w:hAnsi="Arial" w:cs="Arial"/>
          <w:sz w:val="24"/>
          <w:szCs w:val="24"/>
        </w:rPr>
        <w:t xml:space="preserve">80 million in the period). </w:t>
      </w:r>
      <w:r w:rsidRPr="00EF0E5D">
        <w:rPr>
          <w:rFonts w:ascii="Arial" w:hAnsi="Arial" w:cs="Arial"/>
          <w:sz w:val="24"/>
          <w:szCs w:val="24"/>
        </w:rPr>
        <w:t xml:space="preserve">The opportunity exists to reduce stock in certain territories </w:t>
      </w:r>
      <w:r>
        <w:rPr>
          <w:rFonts w:ascii="Arial" w:hAnsi="Arial" w:cs="Arial"/>
          <w:sz w:val="24"/>
          <w:szCs w:val="24"/>
        </w:rPr>
        <w:t xml:space="preserve">and categories </w:t>
      </w:r>
      <w:r w:rsidRPr="00EF0E5D">
        <w:rPr>
          <w:rFonts w:ascii="Arial" w:hAnsi="Arial" w:cs="Arial"/>
          <w:sz w:val="24"/>
          <w:szCs w:val="24"/>
        </w:rPr>
        <w:t xml:space="preserve">and </w:t>
      </w:r>
      <w:r>
        <w:rPr>
          <w:rFonts w:ascii="Arial" w:hAnsi="Arial" w:cs="Arial"/>
          <w:sz w:val="24"/>
          <w:szCs w:val="24"/>
        </w:rPr>
        <w:t xml:space="preserve">we </w:t>
      </w:r>
      <w:r w:rsidRPr="00EF0E5D">
        <w:rPr>
          <w:rFonts w:ascii="Arial" w:hAnsi="Arial" w:cs="Arial"/>
          <w:sz w:val="24"/>
          <w:szCs w:val="24"/>
        </w:rPr>
        <w:t>will continue to focus on this area.</w:t>
      </w:r>
    </w:p>
    <w:p w:rsidR="00071D62" w:rsidRPr="00EF0E5D" w:rsidRDefault="00071D62" w:rsidP="004948B3">
      <w:pPr>
        <w:jc w:val="left"/>
        <w:rPr>
          <w:rFonts w:ascii="Arial" w:hAnsi="Arial" w:cs="Arial"/>
          <w:sz w:val="24"/>
          <w:szCs w:val="24"/>
        </w:rPr>
      </w:pPr>
    </w:p>
    <w:p w:rsidR="00071D62" w:rsidRPr="00EF0E5D" w:rsidRDefault="00071D62" w:rsidP="004948B3">
      <w:pPr>
        <w:jc w:val="left"/>
        <w:rPr>
          <w:rFonts w:ascii="Arial" w:hAnsi="Arial" w:cs="Arial"/>
          <w:sz w:val="24"/>
          <w:szCs w:val="24"/>
        </w:rPr>
      </w:pPr>
      <w:r w:rsidRPr="00EF0E5D">
        <w:rPr>
          <w:rFonts w:ascii="Arial" w:hAnsi="Arial" w:cs="Arial"/>
          <w:sz w:val="24"/>
          <w:szCs w:val="24"/>
        </w:rPr>
        <w:t>Gross capex has increased by £48 million year on year as a result of investment in our store network</w:t>
      </w:r>
      <w:r>
        <w:rPr>
          <w:rFonts w:ascii="Arial" w:hAnsi="Arial" w:cs="Arial"/>
          <w:sz w:val="24"/>
          <w:szCs w:val="24"/>
        </w:rPr>
        <w:t xml:space="preserve">s in Poland and Russia, and in our group IT systems. </w:t>
      </w:r>
      <w:r w:rsidRPr="00EF0E5D">
        <w:rPr>
          <w:rFonts w:ascii="Arial" w:hAnsi="Arial" w:cs="Arial"/>
          <w:sz w:val="24"/>
          <w:szCs w:val="24"/>
        </w:rPr>
        <w:t>During the prior year we received £73 million net proceeds principally on property sales.</w:t>
      </w:r>
    </w:p>
    <w:p w:rsidR="00071D62" w:rsidRPr="00EF0E5D" w:rsidRDefault="00071D62" w:rsidP="004948B3">
      <w:pPr>
        <w:jc w:val="left"/>
        <w:rPr>
          <w:rFonts w:ascii="Arial" w:hAnsi="Arial" w:cs="Arial"/>
          <w:sz w:val="24"/>
          <w:szCs w:val="24"/>
        </w:rPr>
      </w:pPr>
    </w:p>
    <w:p w:rsidR="00071D62" w:rsidRDefault="00C96B4B" w:rsidP="004948B3">
      <w:pPr>
        <w:jc w:val="left"/>
        <w:rPr>
          <w:rFonts w:ascii="Arial" w:hAnsi="Arial" w:cs="Arial"/>
          <w:sz w:val="24"/>
          <w:szCs w:val="24"/>
        </w:rPr>
      </w:pPr>
      <w:r w:rsidRPr="00C96B4B">
        <w:rPr>
          <w:noProof/>
        </w:rPr>
        <w:pict>
          <v:line id="_x0000_s1026" style="position:absolute;z-index:251658240" from="-180pt,66.9pt" to="-2in,66.9pt">
            <v:stroke endarrow="block"/>
          </v:line>
        </w:pict>
      </w:r>
      <w:r w:rsidR="00071D62" w:rsidRPr="00EF0E5D">
        <w:rPr>
          <w:rFonts w:ascii="Arial" w:hAnsi="Arial" w:cs="Arial"/>
          <w:sz w:val="24"/>
          <w:szCs w:val="24"/>
        </w:rPr>
        <w:t>During the period we have invested additional funds outside of our</w:t>
      </w:r>
      <w:r w:rsidR="00071D62">
        <w:rPr>
          <w:rFonts w:ascii="Arial" w:hAnsi="Arial" w:cs="Arial"/>
          <w:sz w:val="24"/>
          <w:szCs w:val="24"/>
        </w:rPr>
        <w:t xml:space="preserve"> normal ‘free cash flow’</w:t>
      </w:r>
      <w:r w:rsidR="00071D62" w:rsidRPr="00EF0E5D">
        <w:rPr>
          <w:rFonts w:ascii="Arial" w:hAnsi="Arial" w:cs="Arial"/>
          <w:sz w:val="24"/>
          <w:szCs w:val="24"/>
        </w:rPr>
        <w:t xml:space="preserve"> with £88 million </w:t>
      </w:r>
      <w:r w:rsidR="00071D62">
        <w:rPr>
          <w:rFonts w:ascii="Arial" w:hAnsi="Arial" w:cs="Arial"/>
          <w:sz w:val="24"/>
          <w:szCs w:val="24"/>
        </w:rPr>
        <w:t>allocated</w:t>
      </w:r>
      <w:r w:rsidR="00071D62" w:rsidRPr="00EF0E5D">
        <w:rPr>
          <w:rFonts w:ascii="Arial" w:hAnsi="Arial" w:cs="Arial"/>
          <w:sz w:val="24"/>
          <w:szCs w:val="24"/>
        </w:rPr>
        <w:t xml:space="preserve"> </w:t>
      </w:r>
      <w:r w:rsidR="00071D62">
        <w:rPr>
          <w:rFonts w:ascii="Arial" w:hAnsi="Arial" w:cs="Arial"/>
          <w:sz w:val="24"/>
          <w:szCs w:val="24"/>
        </w:rPr>
        <w:t>to</w:t>
      </w:r>
      <w:r w:rsidR="00071D62" w:rsidRPr="00EF0E5D">
        <w:rPr>
          <w:rFonts w:ascii="Arial" w:hAnsi="Arial" w:cs="Arial"/>
          <w:sz w:val="24"/>
          <w:szCs w:val="24"/>
        </w:rPr>
        <w:t xml:space="preserve"> strategic capex investments and £117 million on </w:t>
      </w:r>
      <w:r w:rsidR="00071D62">
        <w:rPr>
          <w:rFonts w:ascii="Arial" w:hAnsi="Arial" w:cs="Arial"/>
          <w:sz w:val="24"/>
          <w:szCs w:val="24"/>
        </w:rPr>
        <w:t xml:space="preserve">the employee share trust </w:t>
      </w:r>
      <w:r w:rsidR="00071D62" w:rsidRPr="00EF0E5D">
        <w:rPr>
          <w:rFonts w:ascii="Arial" w:hAnsi="Arial" w:cs="Arial"/>
          <w:sz w:val="24"/>
          <w:szCs w:val="24"/>
        </w:rPr>
        <w:t>acquiring 42</w:t>
      </w:r>
      <w:r w:rsidR="00071D62">
        <w:rPr>
          <w:rFonts w:ascii="Arial" w:hAnsi="Arial" w:cs="Arial"/>
          <w:sz w:val="24"/>
          <w:szCs w:val="24"/>
        </w:rPr>
        <w:t xml:space="preserve"> million Kingfisher</w:t>
      </w:r>
      <w:r w:rsidR="00071D62" w:rsidRPr="00EF0E5D">
        <w:rPr>
          <w:rFonts w:ascii="Arial" w:hAnsi="Arial" w:cs="Arial"/>
          <w:sz w:val="24"/>
          <w:szCs w:val="24"/>
        </w:rPr>
        <w:t xml:space="preserve"> shares </w:t>
      </w:r>
      <w:r w:rsidR="00071D62">
        <w:rPr>
          <w:rFonts w:ascii="Arial" w:hAnsi="Arial" w:cs="Arial"/>
          <w:sz w:val="24"/>
          <w:szCs w:val="24"/>
        </w:rPr>
        <w:t xml:space="preserve">to match existing share incentive schemes, avoiding dilution of shareholder interests when the schemes mature. </w:t>
      </w:r>
      <w:r w:rsidR="00071D62" w:rsidRPr="00EF0E5D">
        <w:rPr>
          <w:rFonts w:ascii="Arial" w:hAnsi="Arial" w:cs="Arial"/>
          <w:sz w:val="24"/>
          <w:szCs w:val="24"/>
        </w:rPr>
        <w:t>The strategic capex spend includes £64 million in the UK where we have actively decided to purchase freehold</w:t>
      </w:r>
      <w:r w:rsidR="00071D62">
        <w:rPr>
          <w:rFonts w:ascii="Arial" w:hAnsi="Arial" w:cs="Arial"/>
          <w:sz w:val="24"/>
          <w:szCs w:val="24"/>
        </w:rPr>
        <w:t>s</w:t>
      </w:r>
      <w:r w:rsidR="00071D62" w:rsidRPr="00EF0E5D">
        <w:rPr>
          <w:rFonts w:ascii="Arial" w:hAnsi="Arial" w:cs="Arial"/>
          <w:sz w:val="24"/>
          <w:szCs w:val="24"/>
        </w:rPr>
        <w:t xml:space="preserve"> </w:t>
      </w:r>
      <w:r w:rsidR="00071D62">
        <w:rPr>
          <w:rFonts w:ascii="Arial" w:hAnsi="Arial" w:cs="Arial"/>
          <w:sz w:val="24"/>
          <w:szCs w:val="24"/>
        </w:rPr>
        <w:t xml:space="preserve">already occupied </w:t>
      </w:r>
      <w:r w:rsidR="00071D62" w:rsidRPr="00EF0E5D">
        <w:rPr>
          <w:rFonts w:ascii="Arial" w:hAnsi="Arial" w:cs="Arial"/>
          <w:sz w:val="24"/>
          <w:szCs w:val="24"/>
        </w:rPr>
        <w:t xml:space="preserve">and £24 million on the acquisition of </w:t>
      </w:r>
      <w:r w:rsidR="00071D62">
        <w:rPr>
          <w:rFonts w:ascii="Arial" w:hAnsi="Arial" w:cs="Arial"/>
          <w:sz w:val="24"/>
          <w:szCs w:val="24"/>
        </w:rPr>
        <w:t>29</w:t>
      </w:r>
      <w:r w:rsidR="00071D62" w:rsidRPr="00EF0E5D">
        <w:rPr>
          <w:rFonts w:ascii="Arial" w:hAnsi="Arial" w:cs="Arial"/>
          <w:sz w:val="24"/>
          <w:szCs w:val="24"/>
        </w:rPr>
        <w:t xml:space="preserve"> Focus </w:t>
      </w:r>
      <w:r w:rsidR="00071D62">
        <w:rPr>
          <w:rFonts w:ascii="Arial" w:hAnsi="Arial" w:cs="Arial"/>
          <w:sz w:val="24"/>
          <w:szCs w:val="24"/>
        </w:rPr>
        <w:t>s</w:t>
      </w:r>
      <w:r w:rsidR="00071D62" w:rsidRPr="00EF0E5D">
        <w:rPr>
          <w:rFonts w:ascii="Arial" w:hAnsi="Arial" w:cs="Arial"/>
          <w:sz w:val="24"/>
          <w:szCs w:val="24"/>
        </w:rPr>
        <w:t>tores</w:t>
      </w:r>
      <w:r w:rsidR="00071D62">
        <w:rPr>
          <w:rFonts w:ascii="Arial" w:hAnsi="Arial" w:cs="Arial"/>
          <w:sz w:val="24"/>
          <w:szCs w:val="24"/>
        </w:rPr>
        <w:t>.</w:t>
      </w:r>
    </w:p>
    <w:p w:rsidR="00071D62" w:rsidRPr="00EF0E5D" w:rsidRDefault="00071D62" w:rsidP="004948B3">
      <w:pPr>
        <w:jc w:val="left"/>
        <w:rPr>
          <w:rFonts w:ascii="Arial" w:hAnsi="Arial" w:cs="Arial"/>
          <w:sz w:val="24"/>
          <w:szCs w:val="24"/>
        </w:rPr>
      </w:pPr>
    </w:p>
    <w:p w:rsidR="00071D62" w:rsidRDefault="00071D62" w:rsidP="004948B3">
      <w:pPr>
        <w:jc w:val="left"/>
        <w:rPr>
          <w:rFonts w:ascii="Arial" w:hAnsi="Arial" w:cs="Arial"/>
          <w:sz w:val="24"/>
          <w:szCs w:val="24"/>
        </w:rPr>
      </w:pPr>
      <w:r>
        <w:rPr>
          <w:rFonts w:ascii="Arial" w:hAnsi="Arial" w:cs="Arial"/>
          <w:sz w:val="24"/>
          <w:szCs w:val="24"/>
        </w:rPr>
        <w:t xml:space="preserve">Further capex of £20 </w:t>
      </w:r>
      <w:r w:rsidRPr="00EF0E5D">
        <w:rPr>
          <w:rFonts w:ascii="Arial" w:hAnsi="Arial" w:cs="Arial"/>
          <w:sz w:val="24"/>
          <w:szCs w:val="24"/>
        </w:rPr>
        <w:t>m</w:t>
      </w:r>
      <w:r>
        <w:rPr>
          <w:rFonts w:ascii="Arial" w:hAnsi="Arial" w:cs="Arial"/>
          <w:sz w:val="24"/>
          <w:szCs w:val="24"/>
        </w:rPr>
        <w:t>illion</w:t>
      </w:r>
      <w:r w:rsidRPr="00EF0E5D">
        <w:rPr>
          <w:rFonts w:ascii="Arial" w:hAnsi="Arial" w:cs="Arial"/>
          <w:sz w:val="24"/>
          <w:szCs w:val="24"/>
        </w:rPr>
        <w:t xml:space="preserve"> is anticipated on the</w:t>
      </w:r>
      <w:r>
        <w:rPr>
          <w:rFonts w:ascii="Arial" w:hAnsi="Arial" w:cs="Arial"/>
          <w:sz w:val="24"/>
          <w:szCs w:val="24"/>
        </w:rPr>
        <w:t xml:space="preserve"> Focus stores</w:t>
      </w:r>
      <w:r w:rsidRPr="00EF0E5D">
        <w:rPr>
          <w:rFonts w:ascii="Arial" w:hAnsi="Arial" w:cs="Arial"/>
          <w:sz w:val="24"/>
          <w:szCs w:val="24"/>
        </w:rPr>
        <w:t xml:space="preserve"> during the year and £13 million of exceptional costs will be incurred whilst we integrate the stores before they open.</w:t>
      </w:r>
    </w:p>
    <w:p w:rsidR="00071D62" w:rsidRPr="00EF0E5D" w:rsidRDefault="00071D62" w:rsidP="004948B3">
      <w:pPr>
        <w:jc w:val="left"/>
        <w:rPr>
          <w:rFonts w:ascii="Arial" w:hAnsi="Arial" w:cs="Arial"/>
          <w:sz w:val="24"/>
          <w:szCs w:val="24"/>
        </w:rPr>
      </w:pPr>
    </w:p>
    <w:p w:rsidR="00071D62" w:rsidRDefault="00071D62" w:rsidP="004948B3">
      <w:pPr>
        <w:jc w:val="left"/>
        <w:rPr>
          <w:rFonts w:ascii="Arial" w:hAnsi="Arial" w:cs="Arial"/>
          <w:i/>
          <w:iCs/>
          <w:sz w:val="18"/>
          <w:szCs w:val="18"/>
        </w:rPr>
      </w:pPr>
      <w:r w:rsidRPr="00C07AAF">
        <w:rPr>
          <w:rFonts w:ascii="Arial" w:hAnsi="Arial" w:cs="Arial"/>
          <w:i/>
          <w:iCs/>
          <w:sz w:val="24"/>
          <w:szCs w:val="24"/>
        </w:rPr>
        <w:t xml:space="preserve"> </w:t>
      </w:r>
      <w:r w:rsidRPr="00C07AAF">
        <w:rPr>
          <w:rFonts w:ascii="Arial" w:hAnsi="Arial" w:cs="Arial"/>
          <w:i/>
          <w:iCs/>
          <w:sz w:val="24"/>
          <w:szCs w:val="24"/>
          <w:vertAlign w:val="superscript"/>
        </w:rPr>
        <w:t>1</w:t>
      </w:r>
      <w:r>
        <w:rPr>
          <w:rFonts w:ascii="Arial" w:hAnsi="Arial" w:cs="Arial"/>
          <w:sz w:val="24"/>
          <w:szCs w:val="24"/>
          <w:vertAlign w:val="superscript"/>
        </w:rPr>
        <w:t xml:space="preserve"> </w:t>
      </w:r>
      <w:r w:rsidRPr="00FF7444">
        <w:rPr>
          <w:rFonts w:ascii="Arial" w:hAnsi="Arial" w:cs="Arial"/>
          <w:i/>
          <w:iCs/>
          <w:sz w:val="18"/>
          <w:szCs w:val="18"/>
        </w:rPr>
        <w:t>Legislative changes shortening French payment terms</w:t>
      </w:r>
      <w:r>
        <w:rPr>
          <w:rFonts w:ascii="Arial" w:hAnsi="Arial" w:cs="Arial"/>
          <w:i/>
          <w:iCs/>
          <w:sz w:val="18"/>
          <w:szCs w:val="18"/>
        </w:rPr>
        <w:t xml:space="preserve">, </w:t>
      </w:r>
      <w:r w:rsidRPr="001B2A81">
        <w:rPr>
          <w:rFonts w:ascii="Arial" w:hAnsi="Arial" w:cs="Arial"/>
          <w:i/>
          <w:iCs/>
          <w:sz w:val="18"/>
          <w:szCs w:val="18"/>
        </w:rPr>
        <w:t>implemented over the 3 years to 2012</w:t>
      </w:r>
    </w:p>
    <w:p w:rsidR="00071D62" w:rsidRPr="001702A2" w:rsidRDefault="00071D62" w:rsidP="004948B3">
      <w:pPr>
        <w:jc w:val="left"/>
        <w:rPr>
          <w:rFonts w:ascii="Arial" w:hAnsi="Arial" w:cs="Arial"/>
          <w:sz w:val="24"/>
          <w:szCs w:val="24"/>
        </w:rPr>
      </w:pPr>
    </w:p>
    <w:p w:rsidR="00071D62" w:rsidRPr="001702A2" w:rsidRDefault="00071D62" w:rsidP="004948B3">
      <w:pPr>
        <w:ind w:right="-368"/>
        <w:jc w:val="left"/>
        <w:rPr>
          <w:rFonts w:ascii="Arial" w:hAnsi="Arial" w:cs="Arial"/>
          <w:b/>
          <w:bCs/>
          <w:sz w:val="24"/>
          <w:szCs w:val="24"/>
        </w:rPr>
      </w:pPr>
      <w:r>
        <w:rPr>
          <w:rFonts w:ascii="Arial" w:hAnsi="Arial" w:cs="Arial"/>
          <w:b/>
          <w:bCs/>
          <w:sz w:val="24"/>
          <w:szCs w:val="24"/>
        </w:rPr>
        <w:t>Financial n</w:t>
      </w:r>
      <w:r w:rsidRPr="00BC3A58">
        <w:rPr>
          <w:rFonts w:ascii="Arial" w:hAnsi="Arial" w:cs="Arial"/>
          <w:b/>
          <w:bCs/>
          <w:sz w:val="24"/>
          <w:szCs w:val="24"/>
        </w:rPr>
        <w:t xml:space="preserve">et debt </w:t>
      </w:r>
      <w:r w:rsidRPr="00BC3A58">
        <w:rPr>
          <w:rFonts w:ascii="Arial" w:hAnsi="Arial" w:cs="Arial"/>
          <w:sz w:val="24"/>
          <w:szCs w:val="24"/>
        </w:rPr>
        <w:t xml:space="preserve">at the end of the period was £186 million (29 January 2011: £14 million net cash; 31 July 2010: £19 million net cash). </w:t>
      </w:r>
      <w:r>
        <w:rPr>
          <w:rFonts w:ascii="Arial" w:hAnsi="Arial" w:cs="Arial"/>
          <w:sz w:val="24"/>
          <w:szCs w:val="24"/>
        </w:rPr>
        <w:t xml:space="preserve">The Group maintains a stable investment grade credit rating of BBB -. </w:t>
      </w:r>
      <w:r w:rsidRPr="005C014C">
        <w:rPr>
          <w:rFonts w:ascii="Arial" w:hAnsi="Arial" w:cs="Arial"/>
          <w:sz w:val="24"/>
          <w:szCs w:val="24"/>
        </w:rPr>
        <w:t>The Group refinanced its £500 million 2012 facility with a £200</w:t>
      </w:r>
      <w:r>
        <w:rPr>
          <w:rFonts w:ascii="Arial" w:hAnsi="Arial" w:cs="Arial"/>
          <w:sz w:val="24"/>
          <w:szCs w:val="24"/>
        </w:rPr>
        <w:t xml:space="preserve"> </w:t>
      </w:r>
      <w:r w:rsidRPr="005C014C">
        <w:rPr>
          <w:rFonts w:ascii="Arial" w:hAnsi="Arial" w:cs="Arial"/>
          <w:sz w:val="24"/>
          <w:szCs w:val="24"/>
        </w:rPr>
        <w:t>million 2016 committed facility in the perio</w:t>
      </w:r>
      <w:r>
        <w:rPr>
          <w:rFonts w:ascii="Arial" w:hAnsi="Arial" w:cs="Arial"/>
          <w:sz w:val="24"/>
          <w:szCs w:val="24"/>
        </w:rPr>
        <w:t xml:space="preserve">d with no changes to the covenant terms. </w:t>
      </w:r>
      <w:r w:rsidRPr="005C014C">
        <w:rPr>
          <w:rFonts w:ascii="Arial" w:hAnsi="Arial" w:cs="Arial"/>
          <w:sz w:val="24"/>
          <w:szCs w:val="24"/>
        </w:rPr>
        <w:t>This facil</w:t>
      </w:r>
      <w:r>
        <w:rPr>
          <w:rFonts w:ascii="Arial" w:hAnsi="Arial" w:cs="Arial"/>
          <w:sz w:val="24"/>
          <w:szCs w:val="24"/>
        </w:rPr>
        <w:t>i</w:t>
      </w:r>
      <w:r w:rsidRPr="005C014C">
        <w:rPr>
          <w:rFonts w:ascii="Arial" w:hAnsi="Arial" w:cs="Arial"/>
          <w:sz w:val="24"/>
          <w:szCs w:val="24"/>
        </w:rPr>
        <w:t>ty was undrawn at 30 July 2011</w:t>
      </w:r>
      <w:r>
        <w:rPr>
          <w:rFonts w:ascii="Arial" w:hAnsi="Arial" w:cs="Arial"/>
          <w:sz w:val="24"/>
          <w:szCs w:val="24"/>
        </w:rPr>
        <w:t>.</w:t>
      </w:r>
      <w:r w:rsidRPr="005C014C">
        <w:rPr>
          <w:rFonts w:ascii="Arial" w:hAnsi="Arial" w:cs="Arial"/>
          <w:sz w:val="24"/>
          <w:szCs w:val="24"/>
        </w:rPr>
        <w:t xml:space="preserve"> </w:t>
      </w:r>
      <w:r>
        <w:rPr>
          <w:rFonts w:ascii="Arial" w:hAnsi="Arial" w:cs="Arial"/>
          <w:sz w:val="24"/>
          <w:szCs w:val="24"/>
        </w:rPr>
        <w:t>T</w:t>
      </w:r>
      <w:r w:rsidRPr="005C014C">
        <w:rPr>
          <w:rFonts w:ascii="Arial" w:hAnsi="Arial" w:cs="Arial"/>
          <w:sz w:val="24"/>
          <w:szCs w:val="24"/>
        </w:rPr>
        <w:t>he next significant debt maturity aris</w:t>
      </w:r>
      <w:r>
        <w:rPr>
          <w:rFonts w:ascii="Arial" w:hAnsi="Arial" w:cs="Arial"/>
          <w:sz w:val="24"/>
          <w:szCs w:val="24"/>
        </w:rPr>
        <w:t>es</w:t>
      </w:r>
      <w:r w:rsidRPr="005C014C">
        <w:rPr>
          <w:rFonts w:ascii="Arial" w:hAnsi="Arial" w:cs="Arial"/>
          <w:sz w:val="24"/>
          <w:szCs w:val="24"/>
        </w:rPr>
        <w:t xml:space="preserve"> in November 2012.</w:t>
      </w:r>
      <w:r w:rsidRPr="005C014C">
        <w:rPr>
          <w:rFonts w:ascii="Arial" w:hAnsi="Arial" w:cs="Arial"/>
          <w:color w:val="FF0000"/>
          <w:sz w:val="24"/>
          <w:szCs w:val="24"/>
        </w:rPr>
        <w:t xml:space="preserve"> </w:t>
      </w:r>
      <w:r w:rsidRPr="005C014C">
        <w:rPr>
          <w:rFonts w:ascii="Arial" w:hAnsi="Arial" w:cs="Arial"/>
          <w:sz w:val="24"/>
          <w:szCs w:val="24"/>
        </w:rPr>
        <w:t xml:space="preserve">During the period, the Group has bought back </w:t>
      </w:r>
      <w:r>
        <w:rPr>
          <w:rFonts w:ascii="Arial" w:hAnsi="Arial" w:cs="Arial"/>
          <w:sz w:val="24"/>
          <w:szCs w:val="24"/>
        </w:rPr>
        <w:t xml:space="preserve">December </w:t>
      </w:r>
      <w:r w:rsidRPr="005C014C">
        <w:rPr>
          <w:rFonts w:ascii="Arial" w:hAnsi="Arial" w:cs="Arial"/>
          <w:sz w:val="24"/>
          <w:szCs w:val="24"/>
        </w:rPr>
        <w:t xml:space="preserve">2014 bonds with </w:t>
      </w:r>
      <w:r>
        <w:rPr>
          <w:rFonts w:ascii="Arial" w:hAnsi="Arial" w:cs="Arial"/>
          <w:sz w:val="24"/>
          <w:szCs w:val="24"/>
        </w:rPr>
        <w:t xml:space="preserve">a </w:t>
      </w:r>
      <w:r w:rsidRPr="005C014C">
        <w:rPr>
          <w:rFonts w:ascii="Arial" w:hAnsi="Arial" w:cs="Arial"/>
          <w:sz w:val="24"/>
          <w:szCs w:val="24"/>
        </w:rPr>
        <w:t>nominal value of £9.4 million.</w:t>
      </w:r>
    </w:p>
    <w:p w:rsidR="00071D62" w:rsidRPr="008F18DA" w:rsidRDefault="00071D62" w:rsidP="00995156">
      <w:pPr>
        <w:ind w:right="-368"/>
        <w:jc w:val="left"/>
        <w:rPr>
          <w:rFonts w:ascii="Arial" w:hAnsi="Arial" w:cs="Arial"/>
          <w:color w:val="FF0000"/>
          <w:sz w:val="24"/>
          <w:szCs w:val="24"/>
        </w:rPr>
      </w:pPr>
    </w:p>
    <w:p w:rsidR="00071D62" w:rsidRPr="00153546" w:rsidRDefault="00071D62" w:rsidP="00995156">
      <w:pPr>
        <w:ind w:right="-368"/>
        <w:jc w:val="left"/>
        <w:rPr>
          <w:rFonts w:ascii="Arial" w:hAnsi="Arial" w:cs="Arial"/>
          <w:sz w:val="24"/>
          <w:szCs w:val="24"/>
        </w:rPr>
      </w:pPr>
      <w:r w:rsidRPr="00153546">
        <w:rPr>
          <w:rFonts w:ascii="Arial" w:hAnsi="Arial" w:cs="Arial"/>
          <w:sz w:val="24"/>
          <w:szCs w:val="24"/>
        </w:rPr>
        <w:t xml:space="preserve">The maturity profile of Kingfisher’s debt is illustrated at: </w:t>
      </w:r>
      <w:r w:rsidRPr="00153546">
        <w:rPr>
          <w:rFonts w:ascii="Arial" w:hAnsi="Arial" w:cs="Arial"/>
          <w:sz w:val="24"/>
          <w:szCs w:val="24"/>
          <w:u w:val="single"/>
        </w:rPr>
        <w:t>www.kingfisher.com/index.asp?pageid=76</w:t>
      </w:r>
    </w:p>
    <w:p w:rsidR="00071D62" w:rsidRDefault="00071D62" w:rsidP="00995156">
      <w:pPr>
        <w:ind w:right="-368"/>
        <w:jc w:val="left"/>
        <w:rPr>
          <w:rFonts w:ascii="Arial" w:hAnsi="Arial" w:cs="Arial"/>
          <w:sz w:val="24"/>
          <w:szCs w:val="24"/>
        </w:rPr>
      </w:pPr>
    </w:p>
    <w:p w:rsidR="00071D62" w:rsidRPr="006864A4" w:rsidRDefault="00071D62" w:rsidP="00995156">
      <w:pPr>
        <w:ind w:right="-368"/>
        <w:jc w:val="left"/>
        <w:rPr>
          <w:rFonts w:ascii="Arial" w:hAnsi="Arial" w:cs="Arial"/>
          <w:b/>
          <w:bCs/>
          <w:sz w:val="24"/>
          <w:szCs w:val="24"/>
        </w:rPr>
      </w:pPr>
      <w:r>
        <w:rPr>
          <w:rFonts w:ascii="Arial" w:hAnsi="Arial" w:cs="Arial"/>
          <w:b/>
          <w:bCs/>
          <w:sz w:val="24"/>
          <w:szCs w:val="24"/>
        </w:rPr>
        <w:t>Pensions</w:t>
      </w:r>
    </w:p>
    <w:p w:rsidR="00071D62" w:rsidRDefault="00071D62" w:rsidP="001848CB">
      <w:pPr>
        <w:jc w:val="left"/>
        <w:rPr>
          <w:rFonts w:ascii="Arial" w:hAnsi="Arial" w:cs="Arial"/>
          <w:sz w:val="24"/>
          <w:szCs w:val="24"/>
        </w:rPr>
      </w:pPr>
      <w:r w:rsidRPr="00153546">
        <w:rPr>
          <w:rFonts w:ascii="Arial" w:hAnsi="Arial" w:cs="Arial"/>
          <w:sz w:val="24"/>
          <w:szCs w:val="24"/>
        </w:rPr>
        <w:t xml:space="preserve">The IAS 19 </w:t>
      </w:r>
      <w:r w:rsidRPr="00153546">
        <w:rPr>
          <w:rFonts w:ascii="Arial" w:hAnsi="Arial" w:cs="Arial"/>
          <w:b/>
          <w:bCs/>
          <w:sz w:val="24"/>
          <w:szCs w:val="24"/>
        </w:rPr>
        <w:t>net pension position</w:t>
      </w:r>
      <w:r w:rsidRPr="00153546">
        <w:rPr>
          <w:rFonts w:ascii="Arial" w:hAnsi="Arial" w:cs="Arial"/>
          <w:sz w:val="24"/>
          <w:szCs w:val="24"/>
        </w:rPr>
        <w:t xml:space="preserve"> at 30 July 2011 was a deficit of £68 million, compared with £58 million at 29 January 2011. The decline in the position since 29 January 2011 is due principally to </w:t>
      </w:r>
      <w:r>
        <w:rPr>
          <w:rFonts w:ascii="Arial" w:hAnsi="Arial" w:cs="Arial"/>
          <w:sz w:val="24"/>
          <w:szCs w:val="24"/>
        </w:rPr>
        <w:t xml:space="preserve">updating the financial assumptions based on market conditions at 30 July 2011.  This has led to the </w:t>
      </w:r>
      <w:r w:rsidRPr="00153546">
        <w:rPr>
          <w:rFonts w:ascii="Arial" w:hAnsi="Arial" w:cs="Arial"/>
          <w:sz w:val="24"/>
          <w:szCs w:val="24"/>
        </w:rPr>
        <w:t xml:space="preserve">discount rate assumption </w:t>
      </w:r>
      <w:r>
        <w:rPr>
          <w:rFonts w:ascii="Arial" w:hAnsi="Arial" w:cs="Arial"/>
          <w:sz w:val="24"/>
          <w:szCs w:val="24"/>
        </w:rPr>
        <w:t xml:space="preserve">being reduced </w:t>
      </w:r>
      <w:r w:rsidRPr="00153546">
        <w:rPr>
          <w:rFonts w:ascii="Arial" w:hAnsi="Arial" w:cs="Arial"/>
          <w:sz w:val="24"/>
          <w:szCs w:val="24"/>
        </w:rPr>
        <w:t xml:space="preserve">from 5.6% </w:t>
      </w:r>
      <w:r>
        <w:rPr>
          <w:rFonts w:ascii="Arial" w:hAnsi="Arial" w:cs="Arial"/>
          <w:sz w:val="24"/>
          <w:szCs w:val="24"/>
        </w:rPr>
        <w:t>to</w:t>
      </w:r>
      <w:r w:rsidRPr="00153546">
        <w:rPr>
          <w:rFonts w:ascii="Arial" w:hAnsi="Arial" w:cs="Arial"/>
          <w:sz w:val="24"/>
          <w:szCs w:val="24"/>
        </w:rPr>
        <w:t xml:space="preserve"> 5.3%</w:t>
      </w:r>
      <w:r>
        <w:rPr>
          <w:rFonts w:ascii="Arial" w:hAnsi="Arial" w:cs="Arial"/>
          <w:sz w:val="24"/>
          <w:szCs w:val="24"/>
        </w:rPr>
        <w:t>.</w:t>
      </w:r>
    </w:p>
    <w:p w:rsidR="00071D62" w:rsidRPr="00020713" w:rsidRDefault="00071D62" w:rsidP="001848CB">
      <w:pPr>
        <w:jc w:val="left"/>
        <w:rPr>
          <w:rFonts w:ascii="Arial" w:hAnsi="Arial" w:cs="Arial"/>
          <w:sz w:val="24"/>
          <w:szCs w:val="24"/>
        </w:rPr>
      </w:pPr>
    </w:p>
    <w:p w:rsidR="00071D62" w:rsidRPr="00020713" w:rsidRDefault="00071D62" w:rsidP="001848CB">
      <w:pPr>
        <w:jc w:val="left"/>
        <w:rPr>
          <w:rFonts w:ascii="Arial" w:hAnsi="Arial" w:cs="Arial"/>
          <w:sz w:val="24"/>
          <w:szCs w:val="24"/>
        </w:rPr>
      </w:pPr>
      <w:r w:rsidRPr="00020713">
        <w:rPr>
          <w:rFonts w:ascii="Arial" w:hAnsi="Arial" w:cs="Arial"/>
          <w:sz w:val="24"/>
          <w:szCs w:val="24"/>
        </w:rPr>
        <w:t>In the previous financial year the Group established a partnership, giving the UK defined benefit pension scheme recourse to property assets in the event of Kingfisher’s insolvency and a regular income stream forming part of the Group’s annual cash contributions. In the period a further two UK properties with a combined market value of £119</w:t>
      </w:r>
      <w:r>
        <w:rPr>
          <w:rFonts w:ascii="Arial" w:hAnsi="Arial" w:cs="Arial"/>
          <w:sz w:val="24"/>
          <w:szCs w:val="24"/>
        </w:rPr>
        <w:t xml:space="preserve"> </w:t>
      </w:r>
      <w:r w:rsidRPr="00020713">
        <w:rPr>
          <w:rFonts w:ascii="Arial" w:hAnsi="Arial" w:cs="Arial"/>
          <w:sz w:val="24"/>
          <w:szCs w:val="24"/>
        </w:rPr>
        <w:t>m</w:t>
      </w:r>
      <w:r>
        <w:rPr>
          <w:rFonts w:ascii="Arial" w:hAnsi="Arial" w:cs="Arial"/>
          <w:sz w:val="24"/>
          <w:szCs w:val="24"/>
        </w:rPr>
        <w:t>illion</w:t>
      </w:r>
      <w:r w:rsidRPr="00020713">
        <w:rPr>
          <w:rFonts w:ascii="Arial" w:hAnsi="Arial" w:cs="Arial"/>
          <w:sz w:val="24"/>
          <w:szCs w:val="24"/>
        </w:rPr>
        <w:t xml:space="preserve"> were transferred into the partnership and leased back to B&amp;Q plc</w:t>
      </w:r>
      <w:r>
        <w:rPr>
          <w:rFonts w:ascii="Arial" w:hAnsi="Arial" w:cs="Arial"/>
          <w:sz w:val="24"/>
          <w:szCs w:val="24"/>
        </w:rPr>
        <w:t xml:space="preserve"> bringing the total contribution to £184 million to date.</w:t>
      </w:r>
    </w:p>
    <w:p w:rsidR="00071D62" w:rsidRPr="00525B67" w:rsidRDefault="00071D62" w:rsidP="00995156">
      <w:pPr>
        <w:ind w:right="-368"/>
        <w:jc w:val="left"/>
        <w:rPr>
          <w:rFonts w:ascii="Arial" w:hAnsi="Arial" w:cs="Arial"/>
          <w:sz w:val="24"/>
          <w:szCs w:val="24"/>
          <w:highlight w:val="yellow"/>
        </w:rPr>
      </w:pPr>
    </w:p>
    <w:p w:rsidR="00071D62" w:rsidRDefault="00071D62" w:rsidP="00995156">
      <w:pPr>
        <w:rPr>
          <w:rFonts w:ascii="Arial" w:hAnsi="Arial" w:cs="Arial"/>
          <w:b/>
          <w:bCs/>
          <w:sz w:val="24"/>
          <w:szCs w:val="24"/>
        </w:rPr>
      </w:pPr>
    </w:p>
    <w:p w:rsidR="00071D62" w:rsidRDefault="00071D62" w:rsidP="00995156">
      <w:pPr>
        <w:rPr>
          <w:rFonts w:ascii="Arial" w:hAnsi="Arial" w:cs="Arial"/>
          <w:b/>
          <w:bCs/>
          <w:sz w:val="24"/>
          <w:szCs w:val="24"/>
        </w:rPr>
      </w:pPr>
    </w:p>
    <w:p w:rsidR="00071D62" w:rsidRPr="00153546" w:rsidRDefault="00071D62" w:rsidP="00995156">
      <w:pPr>
        <w:rPr>
          <w:rFonts w:ascii="Arial" w:hAnsi="Arial" w:cs="Arial"/>
          <w:b/>
          <w:bCs/>
          <w:sz w:val="24"/>
          <w:szCs w:val="24"/>
        </w:rPr>
      </w:pPr>
      <w:r w:rsidRPr="00153546">
        <w:rPr>
          <w:rFonts w:ascii="Arial" w:hAnsi="Arial" w:cs="Arial"/>
          <w:b/>
          <w:bCs/>
          <w:sz w:val="24"/>
          <w:szCs w:val="24"/>
        </w:rPr>
        <w:t>Risks</w:t>
      </w:r>
    </w:p>
    <w:p w:rsidR="00071D62" w:rsidRPr="00153546" w:rsidRDefault="00071D62" w:rsidP="00995156">
      <w:pPr>
        <w:rPr>
          <w:rFonts w:ascii="Arial" w:hAnsi="Arial" w:cs="Arial"/>
          <w:b/>
          <w:bCs/>
          <w:sz w:val="24"/>
          <w:szCs w:val="24"/>
        </w:rPr>
      </w:pPr>
    </w:p>
    <w:p w:rsidR="00071D62" w:rsidRPr="00153546" w:rsidRDefault="00071D62" w:rsidP="001848CB">
      <w:pPr>
        <w:jc w:val="left"/>
        <w:rPr>
          <w:rFonts w:ascii="Arial" w:hAnsi="Arial" w:cs="Arial"/>
          <w:sz w:val="24"/>
          <w:szCs w:val="24"/>
        </w:rPr>
      </w:pPr>
      <w:r w:rsidRPr="00153546">
        <w:rPr>
          <w:rFonts w:ascii="Arial" w:hAnsi="Arial" w:cs="Arial"/>
          <w:sz w:val="24"/>
          <w:szCs w:val="24"/>
        </w:rPr>
        <w:t>The Board considers risk assessment, identification of mitigating actions and internal control to be fundamental to achieving Kingfisher’s strategic objectives. The Board considers that the principal risks to achieving its objectives, which remain principally unchanged from those set in the 2010/11 Annual Report and Accounts, are set out below:</w:t>
      </w:r>
    </w:p>
    <w:p w:rsidR="00071D62" w:rsidRPr="00525B67" w:rsidRDefault="00071D62" w:rsidP="00995156">
      <w:pPr>
        <w:rPr>
          <w:rFonts w:ascii="Arial" w:hAnsi="Arial" w:cs="Arial"/>
          <w:sz w:val="24"/>
          <w:szCs w:val="24"/>
          <w:highlight w:val="yellow"/>
        </w:rPr>
      </w:pPr>
    </w:p>
    <w:p w:rsidR="00071D62" w:rsidRDefault="00071D62">
      <w:pPr>
        <w:numPr>
          <w:ilvl w:val="0"/>
          <w:numId w:val="3"/>
        </w:numPr>
        <w:tabs>
          <w:tab w:val="clear" w:pos="720"/>
          <w:tab w:val="num" w:pos="360"/>
        </w:tabs>
        <w:ind w:left="360"/>
        <w:jc w:val="left"/>
        <w:rPr>
          <w:rFonts w:ascii="Arial" w:hAnsi="Arial" w:cs="Arial"/>
          <w:sz w:val="24"/>
          <w:szCs w:val="24"/>
        </w:rPr>
      </w:pPr>
      <w:r w:rsidRPr="00153546">
        <w:rPr>
          <w:rFonts w:ascii="Arial" w:hAnsi="Arial" w:cs="Arial"/>
          <w:sz w:val="24"/>
          <w:szCs w:val="24"/>
        </w:rPr>
        <w:t>Sustainable model for emerging markets</w:t>
      </w:r>
    </w:p>
    <w:p w:rsidR="00071D62" w:rsidRDefault="00071D62">
      <w:pPr>
        <w:numPr>
          <w:ilvl w:val="0"/>
          <w:numId w:val="3"/>
        </w:numPr>
        <w:tabs>
          <w:tab w:val="clear" w:pos="720"/>
          <w:tab w:val="num" w:pos="360"/>
        </w:tabs>
        <w:ind w:left="360"/>
        <w:jc w:val="left"/>
        <w:rPr>
          <w:rFonts w:ascii="Arial" w:hAnsi="Arial" w:cs="Arial"/>
          <w:sz w:val="24"/>
          <w:szCs w:val="24"/>
        </w:rPr>
      </w:pPr>
      <w:r w:rsidRPr="00153546">
        <w:rPr>
          <w:rFonts w:ascii="Arial" w:hAnsi="Arial" w:cs="Arial"/>
          <w:sz w:val="24"/>
          <w:szCs w:val="24"/>
        </w:rPr>
        <w:t>Fragility of economic recovery continuing to undermine consumer confidence and restricting opportunities for growth</w:t>
      </w:r>
    </w:p>
    <w:p w:rsidR="00071D62" w:rsidRDefault="00071D62">
      <w:pPr>
        <w:numPr>
          <w:ilvl w:val="0"/>
          <w:numId w:val="3"/>
        </w:numPr>
        <w:tabs>
          <w:tab w:val="clear" w:pos="720"/>
          <w:tab w:val="num" w:pos="360"/>
        </w:tabs>
        <w:ind w:left="360"/>
        <w:jc w:val="left"/>
        <w:rPr>
          <w:rFonts w:ascii="Arial" w:hAnsi="Arial" w:cs="Arial"/>
          <w:sz w:val="24"/>
          <w:szCs w:val="24"/>
        </w:rPr>
      </w:pPr>
      <w:r w:rsidRPr="00153546">
        <w:rPr>
          <w:rFonts w:ascii="Arial" w:hAnsi="Arial" w:cs="Arial"/>
          <w:sz w:val="24"/>
          <w:szCs w:val="24"/>
        </w:rPr>
        <w:t>Failure to take advantage of the Group’s combined buying power, synergies and economies of scale</w:t>
      </w:r>
    </w:p>
    <w:p w:rsidR="00071D62" w:rsidRDefault="00071D62">
      <w:pPr>
        <w:numPr>
          <w:ilvl w:val="0"/>
          <w:numId w:val="3"/>
        </w:numPr>
        <w:tabs>
          <w:tab w:val="clear" w:pos="720"/>
          <w:tab w:val="num" w:pos="360"/>
        </w:tabs>
        <w:ind w:left="360"/>
        <w:jc w:val="left"/>
        <w:rPr>
          <w:rFonts w:ascii="Arial" w:hAnsi="Arial" w:cs="Arial"/>
          <w:sz w:val="24"/>
          <w:szCs w:val="24"/>
        </w:rPr>
      </w:pPr>
      <w:r w:rsidRPr="00153546">
        <w:rPr>
          <w:rFonts w:ascii="Arial" w:hAnsi="Arial" w:cs="Arial"/>
          <w:sz w:val="24"/>
          <w:szCs w:val="24"/>
        </w:rPr>
        <w:t>Systems and supply chain infrastructure lacking the flexibility and capability to support the delivery of the Group’s strategic plans</w:t>
      </w:r>
    </w:p>
    <w:p w:rsidR="00071D62" w:rsidRDefault="00071D62">
      <w:pPr>
        <w:numPr>
          <w:ilvl w:val="0"/>
          <w:numId w:val="3"/>
        </w:numPr>
        <w:tabs>
          <w:tab w:val="clear" w:pos="720"/>
          <w:tab w:val="num" w:pos="360"/>
        </w:tabs>
        <w:ind w:left="360"/>
        <w:jc w:val="left"/>
        <w:rPr>
          <w:rFonts w:ascii="Arial" w:hAnsi="Arial" w:cs="Arial"/>
          <w:sz w:val="24"/>
          <w:szCs w:val="24"/>
        </w:rPr>
      </w:pPr>
      <w:r w:rsidRPr="00153546">
        <w:rPr>
          <w:rFonts w:ascii="Arial" w:hAnsi="Arial" w:cs="Arial"/>
          <w:sz w:val="24"/>
          <w:szCs w:val="24"/>
        </w:rPr>
        <w:t>Failure to adapt the Group’s formats and models to meet ongoing changes in consumer trends, particularly given the impact of developments in the multi-channel sphere</w:t>
      </w:r>
    </w:p>
    <w:p w:rsidR="00071D62" w:rsidRDefault="00071D62">
      <w:pPr>
        <w:numPr>
          <w:ilvl w:val="0"/>
          <w:numId w:val="3"/>
        </w:numPr>
        <w:tabs>
          <w:tab w:val="clear" w:pos="720"/>
          <w:tab w:val="num" w:pos="360"/>
        </w:tabs>
        <w:ind w:left="360"/>
        <w:jc w:val="left"/>
        <w:rPr>
          <w:rFonts w:ascii="Arial" w:hAnsi="Arial" w:cs="Arial"/>
          <w:sz w:val="24"/>
          <w:szCs w:val="24"/>
        </w:rPr>
      </w:pPr>
      <w:r w:rsidRPr="00153546">
        <w:rPr>
          <w:rFonts w:ascii="Arial" w:hAnsi="Arial" w:cs="Arial"/>
          <w:sz w:val="24"/>
          <w:szCs w:val="24"/>
        </w:rPr>
        <w:t>Impact of a major health and safety failure on the Group’s reputation, resulting in harm to employees, penalties or prosecution</w:t>
      </w:r>
    </w:p>
    <w:p w:rsidR="00071D62" w:rsidRDefault="00071D62">
      <w:pPr>
        <w:numPr>
          <w:ilvl w:val="0"/>
          <w:numId w:val="3"/>
        </w:numPr>
        <w:tabs>
          <w:tab w:val="clear" w:pos="720"/>
          <w:tab w:val="num" w:pos="360"/>
        </w:tabs>
        <w:ind w:left="360"/>
        <w:jc w:val="left"/>
        <w:rPr>
          <w:rFonts w:ascii="Arial" w:hAnsi="Arial" w:cs="Arial"/>
          <w:sz w:val="24"/>
          <w:szCs w:val="24"/>
        </w:rPr>
      </w:pPr>
      <w:r w:rsidRPr="00153546">
        <w:rPr>
          <w:rFonts w:ascii="Arial" w:hAnsi="Arial" w:cs="Arial"/>
          <w:sz w:val="24"/>
          <w:szCs w:val="24"/>
        </w:rPr>
        <w:t>Not making the necessary investment in people to ensure the Group has the appropriate calibre of staff, skills and experience</w:t>
      </w:r>
    </w:p>
    <w:p w:rsidR="00071D62" w:rsidRDefault="00071D62">
      <w:pPr>
        <w:numPr>
          <w:ilvl w:val="0"/>
          <w:numId w:val="3"/>
        </w:numPr>
        <w:tabs>
          <w:tab w:val="clear" w:pos="720"/>
          <w:tab w:val="num" w:pos="360"/>
        </w:tabs>
        <w:ind w:left="360"/>
        <w:jc w:val="left"/>
        <w:rPr>
          <w:rFonts w:ascii="Arial" w:hAnsi="Arial" w:cs="Arial"/>
          <w:sz w:val="24"/>
          <w:szCs w:val="24"/>
        </w:rPr>
      </w:pPr>
      <w:r w:rsidRPr="00153546">
        <w:rPr>
          <w:rFonts w:ascii="Arial" w:hAnsi="Arial" w:cs="Arial"/>
          <w:sz w:val="24"/>
          <w:szCs w:val="24"/>
        </w:rPr>
        <w:t>Risk of penalties or punitive damages arising from failure to comply with new legislative or regulatory requirements</w:t>
      </w:r>
    </w:p>
    <w:p w:rsidR="00071D62" w:rsidRDefault="00071D62">
      <w:pPr>
        <w:numPr>
          <w:ilvl w:val="0"/>
          <w:numId w:val="3"/>
        </w:numPr>
        <w:tabs>
          <w:tab w:val="clear" w:pos="720"/>
          <w:tab w:val="num" w:pos="360"/>
        </w:tabs>
        <w:ind w:left="360"/>
        <w:jc w:val="left"/>
        <w:rPr>
          <w:rFonts w:ascii="Arial" w:hAnsi="Arial" w:cs="Arial"/>
          <w:sz w:val="24"/>
          <w:szCs w:val="24"/>
        </w:rPr>
      </w:pPr>
      <w:r w:rsidRPr="00153546">
        <w:rPr>
          <w:rFonts w:ascii="Arial" w:hAnsi="Arial" w:cs="Arial"/>
          <w:sz w:val="24"/>
          <w:szCs w:val="24"/>
        </w:rPr>
        <w:t>Impact on Group’s reputation from a major ethical or environmental failure</w:t>
      </w:r>
    </w:p>
    <w:p w:rsidR="00071D62" w:rsidRDefault="00071D62">
      <w:pPr>
        <w:numPr>
          <w:ilvl w:val="0"/>
          <w:numId w:val="3"/>
        </w:numPr>
        <w:tabs>
          <w:tab w:val="clear" w:pos="720"/>
          <w:tab w:val="num" w:pos="360"/>
        </w:tabs>
        <w:ind w:left="360"/>
        <w:jc w:val="left"/>
        <w:rPr>
          <w:rFonts w:ascii="Arial" w:hAnsi="Arial" w:cs="Arial"/>
          <w:sz w:val="24"/>
          <w:szCs w:val="24"/>
        </w:rPr>
      </w:pPr>
      <w:r w:rsidRPr="00153546">
        <w:rPr>
          <w:rFonts w:ascii="Arial" w:hAnsi="Arial" w:cs="Arial"/>
          <w:sz w:val="24"/>
          <w:szCs w:val="24"/>
        </w:rPr>
        <w:t>Not implementing the measures and disciplines to effectively assess the shareholder value delivered through the Delivering Value programme</w:t>
      </w:r>
    </w:p>
    <w:p w:rsidR="00071D62" w:rsidRPr="00153546" w:rsidRDefault="00071D62" w:rsidP="00995156">
      <w:pPr>
        <w:rPr>
          <w:rFonts w:ascii="Arial" w:hAnsi="Arial" w:cs="Arial"/>
          <w:sz w:val="24"/>
          <w:szCs w:val="24"/>
        </w:rPr>
      </w:pPr>
    </w:p>
    <w:p w:rsidR="00071D62" w:rsidRDefault="00071D62" w:rsidP="001848CB">
      <w:pPr>
        <w:jc w:val="left"/>
        <w:rPr>
          <w:rFonts w:ascii="Arial" w:hAnsi="Arial" w:cs="Arial"/>
          <w:sz w:val="24"/>
          <w:szCs w:val="24"/>
        </w:rPr>
      </w:pPr>
      <w:r w:rsidRPr="00153546">
        <w:rPr>
          <w:rFonts w:ascii="Arial" w:hAnsi="Arial" w:cs="Arial"/>
          <w:sz w:val="24"/>
          <w:szCs w:val="24"/>
        </w:rPr>
        <w:t>Further details of the Group risks and risk management process can be found on pages 26 to 28 of the 2010/11 Annual Report and Accounts.</w:t>
      </w:r>
      <w:r w:rsidRPr="002F16C7">
        <w:rPr>
          <w:rFonts w:ascii="Arial" w:hAnsi="Arial" w:cs="Arial"/>
          <w:sz w:val="24"/>
          <w:szCs w:val="24"/>
        </w:rPr>
        <w:t xml:space="preserve"> </w:t>
      </w:r>
    </w:p>
    <w:p w:rsidR="00071D62" w:rsidRPr="00791B66" w:rsidRDefault="00071D62" w:rsidP="00824608">
      <w:pPr>
        <w:jc w:val="left"/>
        <w:rPr>
          <w:rFonts w:ascii="Arial" w:hAnsi="Arial" w:cs="Arial"/>
          <w:b/>
          <w:bCs/>
          <w:sz w:val="24"/>
          <w:szCs w:val="24"/>
        </w:rPr>
      </w:pPr>
      <w:r w:rsidRPr="00791B66">
        <w:rPr>
          <w:rFonts w:ascii="Arial" w:hAnsi="Arial" w:cs="Arial"/>
          <w:b/>
          <w:bCs/>
          <w:sz w:val="24"/>
          <w:szCs w:val="24"/>
        </w:rPr>
        <w:br w:type="page"/>
      </w:r>
      <w:r w:rsidRPr="00791B66">
        <w:rPr>
          <w:rFonts w:ascii="Arial" w:hAnsi="Arial" w:cs="Arial"/>
          <w:b/>
          <w:bCs/>
          <w:sz w:val="24"/>
          <w:szCs w:val="24"/>
        </w:rPr>
        <w:lastRenderedPageBreak/>
        <w:t>Forward-looking statements</w:t>
      </w:r>
    </w:p>
    <w:p w:rsidR="00071D62" w:rsidRPr="00791B66" w:rsidRDefault="00071D62" w:rsidP="006E52BD">
      <w:pPr>
        <w:jc w:val="left"/>
        <w:rPr>
          <w:rFonts w:ascii="Arial" w:hAnsi="Arial" w:cs="Arial"/>
          <w:sz w:val="24"/>
          <w:szCs w:val="24"/>
        </w:rPr>
      </w:pPr>
    </w:p>
    <w:p w:rsidR="00071D62" w:rsidRPr="00791B66" w:rsidRDefault="00071D62" w:rsidP="00824608">
      <w:pPr>
        <w:jc w:val="left"/>
        <w:rPr>
          <w:rFonts w:ascii="Arial" w:hAnsi="Arial" w:cs="Arial"/>
          <w:sz w:val="24"/>
          <w:szCs w:val="24"/>
        </w:rPr>
      </w:pPr>
      <w:r w:rsidRPr="00791B66">
        <w:rPr>
          <w:rFonts w:ascii="Arial" w:hAnsi="Arial" w:cs="Arial"/>
          <w:sz w:val="24"/>
          <w:szCs w:val="24"/>
        </w:rPr>
        <w:t xml:space="preserve">This press release contains certain statements that are forward-looking and are therefore subject to risks, assumptions and uncertainties that could cause actual results to differ materially from those expressed or implied because they relate to future events. These forward-looking statements include, but are not limited to, statements </w:t>
      </w:r>
      <w:bookmarkStart w:id="0" w:name="OLE_LINK7"/>
      <w:bookmarkStart w:id="1" w:name="OLE_LINK8"/>
      <w:r w:rsidRPr="00791B66">
        <w:rPr>
          <w:rFonts w:ascii="Arial" w:hAnsi="Arial" w:cs="Arial"/>
          <w:sz w:val="24"/>
          <w:szCs w:val="24"/>
        </w:rPr>
        <w:t xml:space="preserve">relating to the Company’s expectations around its three key priorities of Management, Capital and Returns and the associated seven steps to </w:t>
      </w:r>
      <w:r>
        <w:rPr>
          <w:rFonts w:ascii="Arial" w:hAnsi="Arial" w:cs="Arial"/>
          <w:sz w:val="24"/>
          <w:szCs w:val="24"/>
        </w:rPr>
        <w:t>‘</w:t>
      </w:r>
      <w:r w:rsidRPr="00791B66">
        <w:rPr>
          <w:rFonts w:ascii="Arial" w:hAnsi="Arial" w:cs="Arial"/>
          <w:sz w:val="24"/>
          <w:szCs w:val="24"/>
        </w:rPr>
        <w:t>Delivering Value</w:t>
      </w:r>
      <w:r>
        <w:rPr>
          <w:rFonts w:ascii="Arial" w:hAnsi="Arial" w:cs="Arial"/>
          <w:sz w:val="24"/>
          <w:szCs w:val="24"/>
        </w:rPr>
        <w:t>’ objectives</w:t>
      </w:r>
      <w:r w:rsidRPr="00791B66">
        <w:rPr>
          <w:rFonts w:ascii="Arial" w:hAnsi="Arial" w:cs="Arial"/>
          <w:sz w:val="24"/>
          <w:szCs w:val="24"/>
        </w:rPr>
        <w:t xml:space="preserve"> </w:t>
      </w:r>
      <w:r>
        <w:rPr>
          <w:rFonts w:ascii="Arial" w:hAnsi="Arial" w:cs="Arial"/>
          <w:sz w:val="24"/>
          <w:szCs w:val="24"/>
        </w:rPr>
        <w:t xml:space="preserve">and the next phase of the Company’s </w:t>
      </w:r>
      <w:bookmarkEnd w:id="0"/>
      <w:bookmarkEnd w:id="1"/>
      <w:r>
        <w:rPr>
          <w:rFonts w:ascii="Arial" w:hAnsi="Arial" w:cs="Arial"/>
          <w:sz w:val="24"/>
          <w:szCs w:val="24"/>
        </w:rPr>
        <w:t>development known as ‘</w:t>
      </w:r>
      <w:r w:rsidRPr="00C17B89">
        <w:rPr>
          <w:rFonts w:ascii="Arial" w:hAnsi="Arial" w:cs="Arial"/>
          <w:sz w:val="24"/>
          <w:szCs w:val="24"/>
        </w:rPr>
        <w:t>Creating the Leader</w:t>
      </w:r>
      <w:r>
        <w:rPr>
          <w:rFonts w:ascii="Arial" w:hAnsi="Arial" w:cs="Arial"/>
          <w:sz w:val="24"/>
          <w:szCs w:val="24"/>
        </w:rPr>
        <w:t>’.</w:t>
      </w:r>
    </w:p>
    <w:p w:rsidR="00071D62" w:rsidRPr="00791B66" w:rsidRDefault="00071D62" w:rsidP="00824608">
      <w:pPr>
        <w:jc w:val="left"/>
        <w:rPr>
          <w:rFonts w:ascii="Arial" w:hAnsi="Arial" w:cs="Arial"/>
          <w:sz w:val="24"/>
          <w:szCs w:val="24"/>
        </w:rPr>
      </w:pPr>
    </w:p>
    <w:p w:rsidR="00071D62" w:rsidRPr="00791B66" w:rsidRDefault="00071D62" w:rsidP="00824608">
      <w:pPr>
        <w:jc w:val="left"/>
        <w:rPr>
          <w:rFonts w:ascii="Arial" w:hAnsi="Arial" w:cs="Arial"/>
          <w:sz w:val="24"/>
          <w:szCs w:val="24"/>
        </w:rPr>
      </w:pPr>
      <w:r w:rsidRPr="00791B66">
        <w:rPr>
          <w:rFonts w:ascii="Arial" w:hAnsi="Arial" w:cs="Arial"/>
          <w:sz w:val="24"/>
          <w:szCs w:val="24"/>
        </w:rPr>
        <w:t>Forward-looking statements can be identified by the use of relevant terminology including the words: “believes”, “estimates”, “anticipates”, “expects”, “intends”, “plans”, “goal”, “target”, “aim”, “may”, “will”, “would”, “could” or “should” or, in each case, their negative or other variations or comparable terminology and include all matters that are not historical facts. They appear in a number of places throughout this press release and include statements regarding our intentions, beliefs or current expectations and those of our officers, directors and employees concerning, amongst other things, our results of operations, financial condition, changes in tax rates, liquidity, prospects, growth, strategies and the businesses we operate.</w:t>
      </w:r>
    </w:p>
    <w:p w:rsidR="00071D62" w:rsidRPr="00791B66" w:rsidRDefault="00071D62" w:rsidP="00824608">
      <w:pPr>
        <w:jc w:val="left"/>
        <w:rPr>
          <w:rFonts w:ascii="Arial" w:hAnsi="Arial" w:cs="Arial"/>
          <w:sz w:val="24"/>
          <w:szCs w:val="24"/>
        </w:rPr>
      </w:pPr>
    </w:p>
    <w:p w:rsidR="00071D62" w:rsidRPr="00791B66" w:rsidRDefault="00071D62" w:rsidP="00824608">
      <w:pPr>
        <w:jc w:val="left"/>
        <w:rPr>
          <w:rFonts w:ascii="Arial" w:hAnsi="Arial" w:cs="Arial"/>
          <w:sz w:val="24"/>
          <w:szCs w:val="24"/>
        </w:rPr>
      </w:pPr>
      <w:r w:rsidRPr="00791B66">
        <w:rPr>
          <w:rFonts w:ascii="Arial" w:hAnsi="Arial" w:cs="Arial"/>
          <w:sz w:val="24"/>
          <w:szCs w:val="24"/>
        </w:rPr>
        <w:t>Other factors that could cause actual results to differ materially from those estimated by the forward-looking statements include, but are not limited to, global economic business conditions, monetary and interest rate policies, foreign currency exchange rates, equity and property prices, the impact of competition, inflation and deflation, changes to regulations, taxes and legislation, changes to consumer saving and spending habits; and our success in managing these factors.</w:t>
      </w:r>
    </w:p>
    <w:p w:rsidR="00071D62" w:rsidRPr="00791B66" w:rsidRDefault="00071D62" w:rsidP="00824608">
      <w:pPr>
        <w:jc w:val="left"/>
        <w:rPr>
          <w:rFonts w:ascii="Arial" w:hAnsi="Arial" w:cs="Arial"/>
          <w:sz w:val="24"/>
          <w:szCs w:val="24"/>
        </w:rPr>
      </w:pPr>
    </w:p>
    <w:p w:rsidR="00071D62" w:rsidRPr="00791B66" w:rsidRDefault="00071D62" w:rsidP="00824608">
      <w:pPr>
        <w:jc w:val="left"/>
        <w:rPr>
          <w:rFonts w:ascii="Arial" w:hAnsi="Arial" w:cs="Arial"/>
          <w:sz w:val="24"/>
          <w:szCs w:val="24"/>
        </w:rPr>
      </w:pPr>
      <w:r w:rsidRPr="00791B66">
        <w:rPr>
          <w:rFonts w:ascii="Arial" w:hAnsi="Arial" w:cs="Arial"/>
          <w:sz w:val="24"/>
          <w:szCs w:val="24"/>
        </w:rPr>
        <w:t>Consequently, our actual future financial condition, performance and results could differ materially from the plans, goals and expectations set out in our forward-looking statements. The Company undertakes no obligation to publicly update any forward- looking statement, whether as a result of new information, future events or otherwise.</w:t>
      </w:r>
    </w:p>
    <w:p w:rsidR="00071D62" w:rsidRPr="00791B66" w:rsidRDefault="00071D62" w:rsidP="00BD2DF8">
      <w:pPr>
        <w:jc w:val="left"/>
        <w:rPr>
          <w:rFonts w:ascii="Arial" w:hAnsi="Arial" w:cs="Arial"/>
          <w:b/>
          <w:bCs/>
          <w:sz w:val="24"/>
          <w:szCs w:val="24"/>
        </w:rPr>
      </w:pPr>
    </w:p>
    <w:p w:rsidR="00071D62" w:rsidRPr="00791B66" w:rsidRDefault="00116591" w:rsidP="00EB0AC1">
      <w:pPr>
        <w:jc w:val="left"/>
        <w:rPr>
          <w:rFonts w:cs="Times New Roman"/>
        </w:rPr>
      </w:pPr>
      <w:bookmarkStart w:id="2" w:name="_PictureBullets"/>
      <w:r w:rsidRPr="00C96B4B">
        <w:rPr>
          <w:rFonts w:ascii="Times New Roman" w:hAnsi="Times New Roman" w:cs="Times New Roman"/>
          <w:vanish/>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9.75pt" o:bullet="t">
            <v:imagedata r:id="rId8" o:title=""/>
          </v:shape>
        </w:pict>
      </w:r>
      <w:bookmarkEnd w:id="2"/>
    </w:p>
    <w:sectPr w:rsidR="00071D62" w:rsidRPr="00791B66" w:rsidSect="00965768">
      <w:headerReference w:type="default" r:id="rId9"/>
      <w:footerReference w:type="even" r:id="rId10"/>
      <w:footerReference w:type="default" r:id="rId11"/>
      <w:pgSz w:w="11909" w:h="16834" w:code="9"/>
      <w:pgMar w:top="1077" w:right="1134" w:bottom="720" w:left="1134" w:header="720" w:footer="77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D62" w:rsidRDefault="00071D62">
      <w:pPr>
        <w:rPr>
          <w:rFonts w:cs="Times New Roman"/>
        </w:rPr>
      </w:pPr>
      <w:r>
        <w:rPr>
          <w:rFonts w:cs="Times New Roman"/>
        </w:rPr>
        <w:separator/>
      </w:r>
    </w:p>
  </w:endnote>
  <w:endnote w:type="continuationSeparator" w:id="0">
    <w:p w:rsidR="00071D62" w:rsidRDefault="00071D6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ZapfCalligr BT">
    <w:altName w:val="Palatino Linotype"/>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35">
    <w:altName w:val="Avenir 35"/>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D62" w:rsidRDefault="00C96B4B" w:rsidP="00645284">
    <w:pPr>
      <w:pStyle w:val="Footer"/>
      <w:framePr w:wrap="around" w:vAnchor="text" w:hAnchor="margin" w:xAlign="right" w:y="1"/>
      <w:rPr>
        <w:rStyle w:val="PageNumber"/>
      </w:rPr>
    </w:pPr>
    <w:r>
      <w:rPr>
        <w:rStyle w:val="PageNumber"/>
      </w:rPr>
      <w:fldChar w:fldCharType="begin"/>
    </w:r>
    <w:r w:rsidR="00071D62">
      <w:rPr>
        <w:rStyle w:val="PageNumber"/>
      </w:rPr>
      <w:instrText xml:space="preserve">PAGE  </w:instrText>
    </w:r>
    <w:r>
      <w:rPr>
        <w:rStyle w:val="PageNumber"/>
      </w:rPr>
      <w:fldChar w:fldCharType="end"/>
    </w:r>
  </w:p>
  <w:p w:rsidR="00071D62" w:rsidRDefault="00071D62" w:rsidP="009657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D62" w:rsidRPr="00965768" w:rsidRDefault="00C96B4B" w:rsidP="00645284">
    <w:pPr>
      <w:pStyle w:val="Footer"/>
      <w:framePr w:wrap="around" w:vAnchor="text" w:hAnchor="margin" w:xAlign="right" w:y="1"/>
      <w:rPr>
        <w:rStyle w:val="PageNumber"/>
        <w:rFonts w:ascii="Arial" w:hAnsi="Arial" w:cs="Arial"/>
      </w:rPr>
    </w:pPr>
    <w:r w:rsidRPr="00965768">
      <w:rPr>
        <w:rStyle w:val="PageNumber"/>
        <w:rFonts w:ascii="Arial" w:hAnsi="Arial" w:cs="Arial"/>
      </w:rPr>
      <w:fldChar w:fldCharType="begin"/>
    </w:r>
    <w:r w:rsidR="00071D62" w:rsidRPr="00965768">
      <w:rPr>
        <w:rStyle w:val="PageNumber"/>
        <w:rFonts w:ascii="Arial" w:hAnsi="Arial" w:cs="Arial"/>
      </w:rPr>
      <w:instrText xml:space="preserve">PAGE  </w:instrText>
    </w:r>
    <w:r w:rsidRPr="00965768">
      <w:rPr>
        <w:rStyle w:val="PageNumber"/>
        <w:rFonts w:ascii="Arial" w:hAnsi="Arial" w:cs="Arial"/>
      </w:rPr>
      <w:fldChar w:fldCharType="separate"/>
    </w:r>
    <w:r w:rsidR="00116591">
      <w:rPr>
        <w:rStyle w:val="PageNumber"/>
        <w:rFonts w:ascii="Arial" w:hAnsi="Arial" w:cs="Arial"/>
        <w:noProof/>
      </w:rPr>
      <w:t>1</w:t>
    </w:r>
    <w:r w:rsidRPr="00965768">
      <w:rPr>
        <w:rStyle w:val="PageNumber"/>
        <w:rFonts w:ascii="Arial" w:hAnsi="Arial" w:cs="Arial"/>
      </w:rPr>
      <w:fldChar w:fldCharType="end"/>
    </w:r>
    <w:r w:rsidR="00071D62" w:rsidRPr="00965768">
      <w:rPr>
        <w:rStyle w:val="PageNumber"/>
        <w:rFonts w:ascii="Arial" w:hAnsi="Arial" w:cs="Arial"/>
      </w:rPr>
      <w:t>/</w:t>
    </w:r>
    <w:r w:rsidRPr="00965768">
      <w:rPr>
        <w:rStyle w:val="PageNumber"/>
        <w:rFonts w:ascii="Arial" w:hAnsi="Arial" w:cs="Arial"/>
      </w:rPr>
      <w:fldChar w:fldCharType="begin"/>
    </w:r>
    <w:r w:rsidR="00071D62" w:rsidRPr="00965768">
      <w:rPr>
        <w:rStyle w:val="PageNumber"/>
        <w:rFonts w:ascii="Arial" w:hAnsi="Arial" w:cs="Arial"/>
      </w:rPr>
      <w:instrText xml:space="preserve"> NUMPAGES </w:instrText>
    </w:r>
    <w:r w:rsidRPr="00965768">
      <w:rPr>
        <w:rStyle w:val="PageNumber"/>
        <w:rFonts w:ascii="Arial" w:hAnsi="Arial" w:cs="Arial"/>
      </w:rPr>
      <w:fldChar w:fldCharType="separate"/>
    </w:r>
    <w:r w:rsidR="00116591">
      <w:rPr>
        <w:rStyle w:val="PageNumber"/>
        <w:rFonts w:ascii="Arial" w:hAnsi="Arial" w:cs="Arial"/>
        <w:noProof/>
      </w:rPr>
      <w:t>17</w:t>
    </w:r>
    <w:r w:rsidRPr="00965768">
      <w:rPr>
        <w:rStyle w:val="PageNumber"/>
        <w:rFonts w:ascii="Arial" w:hAnsi="Arial" w:cs="Arial"/>
      </w:rPr>
      <w:fldChar w:fldCharType="end"/>
    </w:r>
  </w:p>
  <w:p w:rsidR="00071D62" w:rsidRDefault="00071D62" w:rsidP="009657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D62" w:rsidRDefault="00071D62">
      <w:pPr>
        <w:rPr>
          <w:rFonts w:cs="Times New Roman"/>
        </w:rPr>
      </w:pPr>
      <w:r>
        <w:rPr>
          <w:rFonts w:cs="Times New Roman"/>
        </w:rPr>
        <w:separator/>
      </w:r>
    </w:p>
  </w:footnote>
  <w:footnote w:type="continuationSeparator" w:id="0">
    <w:p w:rsidR="00071D62" w:rsidRDefault="00071D62">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D62" w:rsidRDefault="00071D62" w:rsidP="00866ADF">
    <w:pPr>
      <w:pStyle w:val="Header"/>
      <w:jc w:val="right"/>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7419"/>
    <w:multiLevelType w:val="hybridMultilevel"/>
    <w:tmpl w:val="6B5E78CA"/>
    <w:lvl w:ilvl="0" w:tplc="738402EC">
      <w:start w:val="1"/>
      <w:numFmt w:val="bullet"/>
      <w:lvlText w:val="-"/>
      <w:lvlJc w:val="left"/>
      <w:pPr>
        <w:ind w:left="720" w:hanging="360"/>
      </w:pPr>
      <w:rPr>
        <w:rFonts w:ascii="Univers" w:hAnsi="Univers" w:hint="default"/>
      </w:rPr>
    </w:lvl>
    <w:lvl w:ilvl="1" w:tplc="738402EC">
      <w:start w:val="1"/>
      <w:numFmt w:val="bullet"/>
      <w:lvlText w:val="-"/>
      <w:lvlJc w:val="left"/>
      <w:pPr>
        <w:ind w:left="1440" w:hanging="360"/>
      </w:pPr>
      <w:rPr>
        <w:rFonts w:ascii="Univers" w:hAnsi="Univer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92F73EC"/>
    <w:multiLevelType w:val="hybridMultilevel"/>
    <w:tmpl w:val="F7CA8A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
    <w:nsid w:val="0C65269E"/>
    <w:multiLevelType w:val="hybridMultilevel"/>
    <w:tmpl w:val="4FCA66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0C6D7604"/>
    <w:multiLevelType w:val="multilevel"/>
    <w:tmpl w:val="7FFED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E575623"/>
    <w:multiLevelType w:val="hybridMultilevel"/>
    <w:tmpl w:val="8B60805C"/>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nsid w:val="11867E60"/>
    <w:multiLevelType w:val="hybridMultilevel"/>
    <w:tmpl w:val="0AE2EE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14D86302"/>
    <w:multiLevelType w:val="hybridMultilevel"/>
    <w:tmpl w:val="84623882"/>
    <w:lvl w:ilvl="0" w:tplc="AE2C563C">
      <w:start w:val="1"/>
      <w:numFmt w:val="decimal"/>
      <w:lvlText w:val="%1."/>
      <w:lvlJc w:val="left"/>
      <w:pPr>
        <w:ind w:left="1440" w:hanging="360"/>
      </w:pPr>
      <w:rPr>
        <w:rFonts w:ascii="Arial" w:hAnsi="Arial" w:cs="Arial" w:hint="default"/>
        <w:b/>
        <w:bCs/>
        <w:sz w:val="24"/>
        <w:szCs w:val="24"/>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7">
    <w:nsid w:val="1DE056D1"/>
    <w:multiLevelType w:val="hybridMultilevel"/>
    <w:tmpl w:val="1EAE7702"/>
    <w:lvl w:ilvl="0" w:tplc="CB7C0ED2">
      <w:start w:val="1"/>
      <w:numFmt w:val="decimal"/>
      <w:lvlText w:val="%1."/>
      <w:lvlJc w:val="left"/>
      <w:pPr>
        <w:ind w:left="720" w:hanging="360"/>
      </w:pPr>
      <w:rPr>
        <w:rFonts w:cs="Times New Roman"/>
        <w:b/>
        <w:bCs/>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nsid w:val="1F4836AB"/>
    <w:multiLevelType w:val="hybridMultilevel"/>
    <w:tmpl w:val="E44E18BE"/>
    <w:lvl w:ilvl="0" w:tplc="738402EC">
      <w:start w:val="1"/>
      <w:numFmt w:val="bullet"/>
      <w:lvlText w:val="-"/>
      <w:lvlJc w:val="left"/>
      <w:pPr>
        <w:tabs>
          <w:tab w:val="num" w:pos="720"/>
        </w:tabs>
        <w:ind w:left="720" w:hanging="360"/>
      </w:pPr>
      <w:rPr>
        <w:rFonts w:ascii="Univers" w:hAnsi="Univer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208B3687"/>
    <w:multiLevelType w:val="multilevel"/>
    <w:tmpl w:val="364EBF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21822F02"/>
    <w:multiLevelType w:val="multilevel"/>
    <w:tmpl w:val="183E5E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2FFB7A8A"/>
    <w:multiLevelType w:val="hybridMultilevel"/>
    <w:tmpl w:val="915E33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3D8D14F0"/>
    <w:multiLevelType w:val="hybridMultilevel"/>
    <w:tmpl w:val="826AB86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nsid w:val="3FAD12D5"/>
    <w:multiLevelType w:val="hybridMultilevel"/>
    <w:tmpl w:val="61102AE0"/>
    <w:lvl w:ilvl="0" w:tplc="88EC2F06">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40583235"/>
    <w:multiLevelType w:val="hybridMultilevel"/>
    <w:tmpl w:val="D414B420"/>
    <w:lvl w:ilvl="0" w:tplc="738402EC">
      <w:start w:val="1"/>
      <w:numFmt w:val="bullet"/>
      <w:lvlText w:val="-"/>
      <w:lvlJc w:val="left"/>
      <w:pPr>
        <w:ind w:left="1440" w:hanging="360"/>
      </w:pPr>
      <w:rPr>
        <w:rFonts w:ascii="Univers" w:hAnsi="Univers"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4E443E95"/>
    <w:multiLevelType w:val="hybridMultilevel"/>
    <w:tmpl w:val="261A1DF8"/>
    <w:lvl w:ilvl="0" w:tplc="1ADE3148">
      <w:start w:val="1"/>
      <w:numFmt w:val="bullet"/>
      <w:lvlText w:val="-"/>
      <w:lvlJc w:val="left"/>
      <w:pPr>
        <w:tabs>
          <w:tab w:val="num" w:pos="720"/>
        </w:tabs>
        <w:ind w:left="720" w:hanging="360"/>
      </w:pPr>
      <w:rPr>
        <w:rFonts w:ascii="Arial" w:eastAsia="MS Mincho"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4EF128E7"/>
    <w:multiLevelType w:val="hybridMultilevel"/>
    <w:tmpl w:val="BA26E13A"/>
    <w:lvl w:ilvl="0" w:tplc="08090003">
      <w:start w:val="1"/>
      <w:numFmt w:val="bullet"/>
      <w:lvlText w:val="o"/>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572739BF"/>
    <w:multiLevelType w:val="hybridMultilevel"/>
    <w:tmpl w:val="2B7C93C8"/>
    <w:lvl w:ilvl="0" w:tplc="08090001">
      <w:start w:val="1"/>
      <w:numFmt w:val="bullet"/>
      <w:lvlText w:val=""/>
      <w:lvlJc w:val="left"/>
      <w:pPr>
        <w:ind w:left="360" w:hanging="360"/>
      </w:pPr>
      <w:rPr>
        <w:rFonts w:ascii="Symbol" w:hAnsi="Symbol" w:hint="default"/>
      </w:rPr>
    </w:lvl>
    <w:lvl w:ilvl="1" w:tplc="738402EC">
      <w:start w:val="1"/>
      <w:numFmt w:val="bullet"/>
      <w:lvlText w:val="-"/>
      <w:lvlJc w:val="left"/>
      <w:pPr>
        <w:ind w:left="1080" w:hanging="360"/>
      </w:pPr>
      <w:rPr>
        <w:rFonts w:ascii="Univers" w:hAnsi="Univers" w:hint="default"/>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8">
    <w:nsid w:val="58697BCF"/>
    <w:multiLevelType w:val="hybridMultilevel"/>
    <w:tmpl w:val="1AF47006"/>
    <w:lvl w:ilvl="0" w:tplc="4E64CD18">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nsid w:val="5AA12699"/>
    <w:multiLevelType w:val="hybridMultilevel"/>
    <w:tmpl w:val="1EAE7702"/>
    <w:lvl w:ilvl="0" w:tplc="CB7C0ED2">
      <w:start w:val="1"/>
      <w:numFmt w:val="decimal"/>
      <w:lvlText w:val="%1."/>
      <w:lvlJc w:val="left"/>
      <w:pPr>
        <w:ind w:left="720" w:hanging="360"/>
      </w:pPr>
      <w:rPr>
        <w:rFonts w:cs="Times New Roman"/>
        <w:b/>
        <w:bCs/>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nsid w:val="66DB3BCB"/>
    <w:multiLevelType w:val="hybridMultilevel"/>
    <w:tmpl w:val="EF02CB76"/>
    <w:lvl w:ilvl="0" w:tplc="12B40910">
      <w:start w:val="1"/>
      <w:numFmt w:val="decimal"/>
      <w:lvlText w:val="(%1)"/>
      <w:lvlJc w:val="left"/>
      <w:pPr>
        <w:ind w:left="390" w:hanging="360"/>
      </w:pPr>
      <w:rPr>
        <w:rFonts w:ascii="Helvetica" w:hAnsi="Helvetica" w:cs="Helvetica" w:hint="default"/>
        <w:sz w:val="20"/>
        <w:szCs w:val="20"/>
      </w:rPr>
    </w:lvl>
    <w:lvl w:ilvl="1" w:tplc="08090019">
      <w:start w:val="1"/>
      <w:numFmt w:val="lowerLetter"/>
      <w:lvlText w:val="%2."/>
      <w:lvlJc w:val="left"/>
      <w:pPr>
        <w:ind w:left="1110" w:hanging="360"/>
      </w:pPr>
      <w:rPr>
        <w:rFonts w:cs="Times New Roman"/>
      </w:rPr>
    </w:lvl>
    <w:lvl w:ilvl="2" w:tplc="0809001B">
      <w:start w:val="1"/>
      <w:numFmt w:val="lowerRoman"/>
      <w:lvlText w:val="%3."/>
      <w:lvlJc w:val="right"/>
      <w:pPr>
        <w:ind w:left="1830" w:hanging="180"/>
      </w:pPr>
      <w:rPr>
        <w:rFonts w:cs="Times New Roman"/>
      </w:rPr>
    </w:lvl>
    <w:lvl w:ilvl="3" w:tplc="0809000F">
      <w:start w:val="1"/>
      <w:numFmt w:val="decimal"/>
      <w:lvlText w:val="%4."/>
      <w:lvlJc w:val="left"/>
      <w:pPr>
        <w:ind w:left="2550" w:hanging="360"/>
      </w:pPr>
      <w:rPr>
        <w:rFonts w:cs="Times New Roman"/>
      </w:rPr>
    </w:lvl>
    <w:lvl w:ilvl="4" w:tplc="08090019">
      <w:start w:val="1"/>
      <w:numFmt w:val="lowerLetter"/>
      <w:lvlText w:val="%5."/>
      <w:lvlJc w:val="left"/>
      <w:pPr>
        <w:ind w:left="3270" w:hanging="360"/>
      </w:pPr>
      <w:rPr>
        <w:rFonts w:cs="Times New Roman"/>
      </w:rPr>
    </w:lvl>
    <w:lvl w:ilvl="5" w:tplc="0809001B">
      <w:start w:val="1"/>
      <w:numFmt w:val="lowerRoman"/>
      <w:lvlText w:val="%6."/>
      <w:lvlJc w:val="right"/>
      <w:pPr>
        <w:ind w:left="3990" w:hanging="180"/>
      </w:pPr>
      <w:rPr>
        <w:rFonts w:cs="Times New Roman"/>
      </w:rPr>
    </w:lvl>
    <w:lvl w:ilvl="6" w:tplc="0809000F">
      <w:start w:val="1"/>
      <w:numFmt w:val="decimal"/>
      <w:lvlText w:val="%7."/>
      <w:lvlJc w:val="left"/>
      <w:pPr>
        <w:ind w:left="4710" w:hanging="360"/>
      </w:pPr>
      <w:rPr>
        <w:rFonts w:cs="Times New Roman"/>
      </w:rPr>
    </w:lvl>
    <w:lvl w:ilvl="7" w:tplc="08090019">
      <w:start w:val="1"/>
      <w:numFmt w:val="lowerLetter"/>
      <w:lvlText w:val="%8."/>
      <w:lvlJc w:val="left"/>
      <w:pPr>
        <w:ind w:left="5430" w:hanging="360"/>
      </w:pPr>
      <w:rPr>
        <w:rFonts w:cs="Times New Roman"/>
      </w:rPr>
    </w:lvl>
    <w:lvl w:ilvl="8" w:tplc="0809001B">
      <w:start w:val="1"/>
      <w:numFmt w:val="lowerRoman"/>
      <w:lvlText w:val="%9."/>
      <w:lvlJc w:val="right"/>
      <w:pPr>
        <w:ind w:left="6150" w:hanging="180"/>
      </w:pPr>
      <w:rPr>
        <w:rFonts w:cs="Times New Roman"/>
      </w:rPr>
    </w:lvl>
  </w:abstractNum>
  <w:abstractNum w:abstractNumId="21">
    <w:nsid w:val="6BA0199D"/>
    <w:multiLevelType w:val="hybridMultilevel"/>
    <w:tmpl w:val="1B889320"/>
    <w:lvl w:ilvl="0" w:tplc="75048EDC">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11"/>
  </w:num>
  <w:num w:numId="4">
    <w:abstractNumId w:val="1"/>
  </w:num>
  <w:num w:numId="5">
    <w:abstractNumId w:val="2"/>
  </w:num>
  <w:num w:numId="6">
    <w:abstractNumId w:val="18"/>
  </w:num>
  <w:num w:numId="7">
    <w:abstractNumId w:val="13"/>
  </w:num>
  <w:num w:numId="8">
    <w:abstractNumId w:val="17"/>
  </w:num>
  <w:num w:numId="9">
    <w:abstractNumId w:val="16"/>
  </w:num>
  <w:num w:numId="10">
    <w:abstractNumId w:val="19"/>
  </w:num>
  <w:num w:numId="11">
    <w:abstractNumId w:val="6"/>
  </w:num>
  <w:num w:numId="12">
    <w:abstractNumId w:val="0"/>
  </w:num>
  <w:num w:numId="13">
    <w:abstractNumId w:val="14"/>
  </w:num>
  <w:num w:numId="1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1"/>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5"/>
  </w:num>
  <w:num w:numId="20">
    <w:abstractNumId w:val="15"/>
  </w:num>
  <w:num w:numId="2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6069"/>
    <w:rsid w:val="0000047F"/>
    <w:rsid w:val="000006D2"/>
    <w:rsid w:val="00000FE7"/>
    <w:rsid w:val="000012DD"/>
    <w:rsid w:val="0000154D"/>
    <w:rsid w:val="000026D0"/>
    <w:rsid w:val="00002DFA"/>
    <w:rsid w:val="00002F27"/>
    <w:rsid w:val="0000303B"/>
    <w:rsid w:val="000034A6"/>
    <w:rsid w:val="00003A9F"/>
    <w:rsid w:val="00003FF5"/>
    <w:rsid w:val="0000423D"/>
    <w:rsid w:val="000047E4"/>
    <w:rsid w:val="00006863"/>
    <w:rsid w:val="00006B3B"/>
    <w:rsid w:val="00006C01"/>
    <w:rsid w:val="00006F66"/>
    <w:rsid w:val="00007058"/>
    <w:rsid w:val="000077C7"/>
    <w:rsid w:val="00007BD0"/>
    <w:rsid w:val="0001042A"/>
    <w:rsid w:val="00010672"/>
    <w:rsid w:val="00010EC9"/>
    <w:rsid w:val="00011491"/>
    <w:rsid w:val="000119D5"/>
    <w:rsid w:val="00012085"/>
    <w:rsid w:val="00012C17"/>
    <w:rsid w:val="00012FF2"/>
    <w:rsid w:val="00013174"/>
    <w:rsid w:val="000138C0"/>
    <w:rsid w:val="00013A12"/>
    <w:rsid w:val="00013BFF"/>
    <w:rsid w:val="00014458"/>
    <w:rsid w:val="00014608"/>
    <w:rsid w:val="000147F4"/>
    <w:rsid w:val="00014C8E"/>
    <w:rsid w:val="00014F94"/>
    <w:rsid w:val="00015283"/>
    <w:rsid w:val="00015B14"/>
    <w:rsid w:val="00016C9C"/>
    <w:rsid w:val="0001743F"/>
    <w:rsid w:val="000206F6"/>
    <w:rsid w:val="00020713"/>
    <w:rsid w:val="00020DCF"/>
    <w:rsid w:val="0002185E"/>
    <w:rsid w:val="00021E77"/>
    <w:rsid w:val="00021FC5"/>
    <w:rsid w:val="00022100"/>
    <w:rsid w:val="000221CC"/>
    <w:rsid w:val="00022456"/>
    <w:rsid w:val="00023169"/>
    <w:rsid w:val="000232E9"/>
    <w:rsid w:val="000234FE"/>
    <w:rsid w:val="00023E6F"/>
    <w:rsid w:val="00024CBC"/>
    <w:rsid w:val="000261CC"/>
    <w:rsid w:val="00026714"/>
    <w:rsid w:val="00026977"/>
    <w:rsid w:val="00027085"/>
    <w:rsid w:val="00027B8D"/>
    <w:rsid w:val="00027E09"/>
    <w:rsid w:val="000300B8"/>
    <w:rsid w:val="00030D76"/>
    <w:rsid w:val="00030DEB"/>
    <w:rsid w:val="00030F90"/>
    <w:rsid w:val="00031334"/>
    <w:rsid w:val="00031453"/>
    <w:rsid w:val="000317BC"/>
    <w:rsid w:val="000317F9"/>
    <w:rsid w:val="000318DF"/>
    <w:rsid w:val="00031C7B"/>
    <w:rsid w:val="00031D82"/>
    <w:rsid w:val="0003213B"/>
    <w:rsid w:val="00032390"/>
    <w:rsid w:val="00032C17"/>
    <w:rsid w:val="00033259"/>
    <w:rsid w:val="00033342"/>
    <w:rsid w:val="00033A74"/>
    <w:rsid w:val="00033D2D"/>
    <w:rsid w:val="00033D3C"/>
    <w:rsid w:val="000344B3"/>
    <w:rsid w:val="000349E8"/>
    <w:rsid w:val="00034CC9"/>
    <w:rsid w:val="00034DDC"/>
    <w:rsid w:val="000359DA"/>
    <w:rsid w:val="00035B51"/>
    <w:rsid w:val="00035FDA"/>
    <w:rsid w:val="00036114"/>
    <w:rsid w:val="00036C2F"/>
    <w:rsid w:val="00037404"/>
    <w:rsid w:val="00037AEB"/>
    <w:rsid w:val="00040303"/>
    <w:rsid w:val="000407D5"/>
    <w:rsid w:val="00040C08"/>
    <w:rsid w:val="000413C4"/>
    <w:rsid w:val="00041831"/>
    <w:rsid w:val="00041D18"/>
    <w:rsid w:val="0004258A"/>
    <w:rsid w:val="00042926"/>
    <w:rsid w:val="00043CDA"/>
    <w:rsid w:val="00044165"/>
    <w:rsid w:val="0004430A"/>
    <w:rsid w:val="00044627"/>
    <w:rsid w:val="000446E4"/>
    <w:rsid w:val="000448DF"/>
    <w:rsid w:val="000457B5"/>
    <w:rsid w:val="00046120"/>
    <w:rsid w:val="00046B2D"/>
    <w:rsid w:val="00046BDE"/>
    <w:rsid w:val="0004773B"/>
    <w:rsid w:val="000478E9"/>
    <w:rsid w:val="00050CE5"/>
    <w:rsid w:val="00051573"/>
    <w:rsid w:val="00051EBF"/>
    <w:rsid w:val="0005238F"/>
    <w:rsid w:val="000523F7"/>
    <w:rsid w:val="000526A4"/>
    <w:rsid w:val="0005276B"/>
    <w:rsid w:val="00052A6C"/>
    <w:rsid w:val="000537E2"/>
    <w:rsid w:val="00053DE2"/>
    <w:rsid w:val="00054194"/>
    <w:rsid w:val="00054D9E"/>
    <w:rsid w:val="00054DE9"/>
    <w:rsid w:val="00055787"/>
    <w:rsid w:val="000561C7"/>
    <w:rsid w:val="000568B5"/>
    <w:rsid w:val="0005739A"/>
    <w:rsid w:val="00060679"/>
    <w:rsid w:val="00060E8F"/>
    <w:rsid w:val="000622E7"/>
    <w:rsid w:val="00062AB6"/>
    <w:rsid w:val="000634B6"/>
    <w:rsid w:val="00064E7C"/>
    <w:rsid w:val="0006589E"/>
    <w:rsid w:val="0006596C"/>
    <w:rsid w:val="00065A51"/>
    <w:rsid w:val="00065AA7"/>
    <w:rsid w:val="00065F74"/>
    <w:rsid w:val="0006601F"/>
    <w:rsid w:val="00066649"/>
    <w:rsid w:val="0006778C"/>
    <w:rsid w:val="00067B95"/>
    <w:rsid w:val="00070120"/>
    <w:rsid w:val="00070A63"/>
    <w:rsid w:val="00070F3E"/>
    <w:rsid w:val="00071152"/>
    <w:rsid w:val="00071D62"/>
    <w:rsid w:val="00072489"/>
    <w:rsid w:val="000734F4"/>
    <w:rsid w:val="000735D9"/>
    <w:rsid w:val="00073851"/>
    <w:rsid w:val="00073EFC"/>
    <w:rsid w:val="0007470C"/>
    <w:rsid w:val="00074C6A"/>
    <w:rsid w:val="00075A92"/>
    <w:rsid w:val="00076513"/>
    <w:rsid w:val="00076649"/>
    <w:rsid w:val="000773CF"/>
    <w:rsid w:val="00077704"/>
    <w:rsid w:val="00080F1A"/>
    <w:rsid w:val="0008111F"/>
    <w:rsid w:val="00081216"/>
    <w:rsid w:val="0008136D"/>
    <w:rsid w:val="00081417"/>
    <w:rsid w:val="000819DF"/>
    <w:rsid w:val="00081CC8"/>
    <w:rsid w:val="00082B7C"/>
    <w:rsid w:val="000840E2"/>
    <w:rsid w:val="00084CB8"/>
    <w:rsid w:val="00084E72"/>
    <w:rsid w:val="00085179"/>
    <w:rsid w:val="000861D8"/>
    <w:rsid w:val="00086349"/>
    <w:rsid w:val="00087C26"/>
    <w:rsid w:val="00087E41"/>
    <w:rsid w:val="0009025C"/>
    <w:rsid w:val="00090AE2"/>
    <w:rsid w:val="00090B70"/>
    <w:rsid w:val="000913CA"/>
    <w:rsid w:val="000918E1"/>
    <w:rsid w:val="00091FD4"/>
    <w:rsid w:val="00092194"/>
    <w:rsid w:val="000923E0"/>
    <w:rsid w:val="00092DF5"/>
    <w:rsid w:val="00093517"/>
    <w:rsid w:val="00093F7F"/>
    <w:rsid w:val="000959E8"/>
    <w:rsid w:val="00097D37"/>
    <w:rsid w:val="00097DD9"/>
    <w:rsid w:val="000A0129"/>
    <w:rsid w:val="000A02EF"/>
    <w:rsid w:val="000A0CAC"/>
    <w:rsid w:val="000A0EFF"/>
    <w:rsid w:val="000A107E"/>
    <w:rsid w:val="000A1234"/>
    <w:rsid w:val="000A23C5"/>
    <w:rsid w:val="000A25C5"/>
    <w:rsid w:val="000A2E03"/>
    <w:rsid w:val="000A3006"/>
    <w:rsid w:val="000A3330"/>
    <w:rsid w:val="000A3A1C"/>
    <w:rsid w:val="000A3AC5"/>
    <w:rsid w:val="000A4351"/>
    <w:rsid w:val="000A45C8"/>
    <w:rsid w:val="000A4B7D"/>
    <w:rsid w:val="000A60E5"/>
    <w:rsid w:val="000A66C7"/>
    <w:rsid w:val="000A7C3E"/>
    <w:rsid w:val="000B0535"/>
    <w:rsid w:val="000B09FC"/>
    <w:rsid w:val="000B0B47"/>
    <w:rsid w:val="000B0F79"/>
    <w:rsid w:val="000B1C32"/>
    <w:rsid w:val="000B25D8"/>
    <w:rsid w:val="000B2C8D"/>
    <w:rsid w:val="000B32F7"/>
    <w:rsid w:val="000B3FD3"/>
    <w:rsid w:val="000B4EFA"/>
    <w:rsid w:val="000B53D0"/>
    <w:rsid w:val="000B5C0B"/>
    <w:rsid w:val="000B61C5"/>
    <w:rsid w:val="000B641C"/>
    <w:rsid w:val="000B67C0"/>
    <w:rsid w:val="000B6AD0"/>
    <w:rsid w:val="000B71EB"/>
    <w:rsid w:val="000B76FF"/>
    <w:rsid w:val="000B7CF2"/>
    <w:rsid w:val="000C0248"/>
    <w:rsid w:val="000C05C9"/>
    <w:rsid w:val="000C0AFD"/>
    <w:rsid w:val="000C30BC"/>
    <w:rsid w:val="000C347E"/>
    <w:rsid w:val="000C382A"/>
    <w:rsid w:val="000C3C41"/>
    <w:rsid w:val="000C47B3"/>
    <w:rsid w:val="000C4C21"/>
    <w:rsid w:val="000C574B"/>
    <w:rsid w:val="000C57DF"/>
    <w:rsid w:val="000C5D0A"/>
    <w:rsid w:val="000C5D1B"/>
    <w:rsid w:val="000C5F79"/>
    <w:rsid w:val="000C67CC"/>
    <w:rsid w:val="000C69C8"/>
    <w:rsid w:val="000C6C27"/>
    <w:rsid w:val="000C7426"/>
    <w:rsid w:val="000C7A93"/>
    <w:rsid w:val="000D0336"/>
    <w:rsid w:val="000D07E5"/>
    <w:rsid w:val="000D0A03"/>
    <w:rsid w:val="000D0DCD"/>
    <w:rsid w:val="000D16B8"/>
    <w:rsid w:val="000D21AF"/>
    <w:rsid w:val="000D2B97"/>
    <w:rsid w:val="000D2F02"/>
    <w:rsid w:val="000D3AE7"/>
    <w:rsid w:val="000D432E"/>
    <w:rsid w:val="000D49CD"/>
    <w:rsid w:val="000D4BE1"/>
    <w:rsid w:val="000D5F1B"/>
    <w:rsid w:val="000D645B"/>
    <w:rsid w:val="000D67DC"/>
    <w:rsid w:val="000D7D54"/>
    <w:rsid w:val="000E0BFB"/>
    <w:rsid w:val="000E0D80"/>
    <w:rsid w:val="000E0EB7"/>
    <w:rsid w:val="000E1109"/>
    <w:rsid w:val="000E155B"/>
    <w:rsid w:val="000E1C7B"/>
    <w:rsid w:val="000E1D6E"/>
    <w:rsid w:val="000E1F6A"/>
    <w:rsid w:val="000E2220"/>
    <w:rsid w:val="000E22DF"/>
    <w:rsid w:val="000E2675"/>
    <w:rsid w:val="000E330A"/>
    <w:rsid w:val="000E3683"/>
    <w:rsid w:val="000E37CA"/>
    <w:rsid w:val="000E3AA8"/>
    <w:rsid w:val="000E3BC6"/>
    <w:rsid w:val="000E43AB"/>
    <w:rsid w:val="000E4433"/>
    <w:rsid w:val="000E4ED4"/>
    <w:rsid w:val="000E50AD"/>
    <w:rsid w:val="000E566A"/>
    <w:rsid w:val="000E5899"/>
    <w:rsid w:val="000E6720"/>
    <w:rsid w:val="000E693E"/>
    <w:rsid w:val="000E695E"/>
    <w:rsid w:val="000E6DE6"/>
    <w:rsid w:val="000E74CA"/>
    <w:rsid w:val="000E7CBF"/>
    <w:rsid w:val="000E7DA1"/>
    <w:rsid w:val="000E7DD2"/>
    <w:rsid w:val="000F00F9"/>
    <w:rsid w:val="000F06B1"/>
    <w:rsid w:val="000F105E"/>
    <w:rsid w:val="000F10A7"/>
    <w:rsid w:val="000F1261"/>
    <w:rsid w:val="000F14C3"/>
    <w:rsid w:val="000F14C6"/>
    <w:rsid w:val="000F14D4"/>
    <w:rsid w:val="000F1B86"/>
    <w:rsid w:val="000F2115"/>
    <w:rsid w:val="000F2179"/>
    <w:rsid w:val="000F2813"/>
    <w:rsid w:val="000F3278"/>
    <w:rsid w:val="000F36CC"/>
    <w:rsid w:val="000F3B5F"/>
    <w:rsid w:val="000F3BA7"/>
    <w:rsid w:val="000F4496"/>
    <w:rsid w:val="000F480A"/>
    <w:rsid w:val="000F4E80"/>
    <w:rsid w:val="000F5397"/>
    <w:rsid w:val="000F547C"/>
    <w:rsid w:val="000F593D"/>
    <w:rsid w:val="000F5D2A"/>
    <w:rsid w:val="000F7781"/>
    <w:rsid w:val="000F7E4C"/>
    <w:rsid w:val="0010042D"/>
    <w:rsid w:val="0010057A"/>
    <w:rsid w:val="0010133E"/>
    <w:rsid w:val="0010261D"/>
    <w:rsid w:val="00102A51"/>
    <w:rsid w:val="00103485"/>
    <w:rsid w:val="00103C76"/>
    <w:rsid w:val="00103E5A"/>
    <w:rsid w:val="00103FAD"/>
    <w:rsid w:val="00104057"/>
    <w:rsid w:val="00104159"/>
    <w:rsid w:val="00104E76"/>
    <w:rsid w:val="0010539C"/>
    <w:rsid w:val="00105890"/>
    <w:rsid w:val="00105DCF"/>
    <w:rsid w:val="00105DD3"/>
    <w:rsid w:val="00106539"/>
    <w:rsid w:val="00106815"/>
    <w:rsid w:val="001075FB"/>
    <w:rsid w:val="00107DC8"/>
    <w:rsid w:val="00110FD8"/>
    <w:rsid w:val="001123D6"/>
    <w:rsid w:val="0011248C"/>
    <w:rsid w:val="001125A1"/>
    <w:rsid w:val="00113FDA"/>
    <w:rsid w:val="00114781"/>
    <w:rsid w:val="0011509F"/>
    <w:rsid w:val="00115399"/>
    <w:rsid w:val="00116591"/>
    <w:rsid w:val="001172A6"/>
    <w:rsid w:val="001174B7"/>
    <w:rsid w:val="001176F2"/>
    <w:rsid w:val="001177E6"/>
    <w:rsid w:val="001179F4"/>
    <w:rsid w:val="00117BBF"/>
    <w:rsid w:val="0012027D"/>
    <w:rsid w:val="00121339"/>
    <w:rsid w:val="00121EB0"/>
    <w:rsid w:val="00122311"/>
    <w:rsid w:val="0012310C"/>
    <w:rsid w:val="001238A3"/>
    <w:rsid w:val="00123FB3"/>
    <w:rsid w:val="001241B9"/>
    <w:rsid w:val="001248E5"/>
    <w:rsid w:val="00125011"/>
    <w:rsid w:val="00125156"/>
    <w:rsid w:val="001254D4"/>
    <w:rsid w:val="001255A5"/>
    <w:rsid w:val="00125621"/>
    <w:rsid w:val="001258AE"/>
    <w:rsid w:val="00125FF5"/>
    <w:rsid w:val="00126394"/>
    <w:rsid w:val="0012667F"/>
    <w:rsid w:val="001267F5"/>
    <w:rsid w:val="00126C3C"/>
    <w:rsid w:val="0012761F"/>
    <w:rsid w:val="00127950"/>
    <w:rsid w:val="001279C4"/>
    <w:rsid w:val="00127D81"/>
    <w:rsid w:val="001306D8"/>
    <w:rsid w:val="0013193D"/>
    <w:rsid w:val="00132109"/>
    <w:rsid w:val="001323D4"/>
    <w:rsid w:val="00132841"/>
    <w:rsid w:val="00132C25"/>
    <w:rsid w:val="00132DA1"/>
    <w:rsid w:val="00132E7F"/>
    <w:rsid w:val="0013374D"/>
    <w:rsid w:val="001346F4"/>
    <w:rsid w:val="00134C67"/>
    <w:rsid w:val="001367DD"/>
    <w:rsid w:val="00136C20"/>
    <w:rsid w:val="00137504"/>
    <w:rsid w:val="00137696"/>
    <w:rsid w:val="00137A9B"/>
    <w:rsid w:val="00137D76"/>
    <w:rsid w:val="001406FE"/>
    <w:rsid w:val="00140960"/>
    <w:rsid w:val="00140B2F"/>
    <w:rsid w:val="001414FB"/>
    <w:rsid w:val="00141725"/>
    <w:rsid w:val="001419E6"/>
    <w:rsid w:val="00141F58"/>
    <w:rsid w:val="00142342"/>
    <w:rsid w:val="00143087"/>
    <w:rsid w:val="001430D1"/>
    <w:rsid w:val="00143169"/>
    <w:rsid w:val="00143242"/>
    <w:rsid w:val="001437C2"/>
    <w:rsid w:val="001440B0"/>
    <w:rsid w:val="00144266"/>
    <w:rsid w:val="00145253"/>
    <w:rsid w:val="001459A8"/>
    <w:rsid w:val="00146976"/>
    <w:rsid w:val="00147242"/>
    <w:rsid w:val="00147529"/>
    <w:rsid w:val="00147E0E"/>
    <w:rsid w:val="001500FF"/>
    <w:rsid w:val="00151CB3"/>
    <w:rsid w:val="00151DE3"/>
    <w:rsid w:val="00152970"/>
    <w:rsid w:val="001530C9"/>
    <w:rsid w:val="00153546"/>
    <w:rsid w:val="00154498"/>
    <w:rsid w:val="00154569"/>
    <w:rsid w:val="00154BD5"/>
    <w:rsid w:val="00155091"/>
    <w:rsid w:val="00155560"/>
    <w:rsid w:val="001559A1"/>
    <w:rsid w:val="00155BF2"/>
    <w:rsid w:val="001561D8"/>
    <w:rsid w:val="00156680"/>
    <w:rsid w:val="00156BCF"/>
    <w:rsid w:val="00157AF0"/>
    <w:rsid w:val="00157D7C"/>
    <w:rsid w:val="00160179"/>
    <w:rsid w:val="00160253"/>
    <w:rsid w:val="001618DA"/>
    <w:rsid w:val="00161BD1"/>
    <w:rsid w:val="00161FB0"/>
    <w:rsid w:val="00162253"/>
    <w:rsid w:val="00162348"/>
    <w:rsid w:val="0016260A"/>
    <w:rsid w:val="0016285F"/>
    <w:rsid w:val="00162ED2"/>
    <w:rsid w:val="00162F7E"/>
    <w:rsid w:val="00163F65"/>
    <w:rsid w:val="001642CA"/>
    <w:rsid w:val="001645BA"/>
    <w:rsid w:val="00164E76"/>
    <w:rsid w:val="00165F09"/>
    <w:rsid w:val="00166698"/>
    <w:rsid w:val="00166D70"/>
    <w:rsid w:val="00167400"/>
    <w:rsid w:val="00167502"/>
    <w:rsid w:val="00167897"/>
    <w:rsid w:val="001702A2"/>
    <w:rsid w:val="00170B1B"/>
    <w:rsid w:val="00170F08"/>
    <w:rsid w:val="0017169D"/>
    <w:rsid w:val="001717DD"/>
    <w:rsid w:val="00171828"/>
    <w:rsid w:val="0017212B"/>
    <w:rsid w:val="00172F2D"/>
    <w:rsid w:val="00173093"/>
    <w:rsid w:val="00173180"/>
    <w:rsid w:val="0017367D"/>
    <w:rsid w:val="0017384D"/>
    <w:rsid w:val="001740EC"/>
    <w:rsid w:val="001744CB"/>
    <w:rsid w:val="00174B61"/>
    <w:rsid w:val="00175763"/>
    <w:rsid w:val="001759EF"/>
    <w:rsid w:val="001760E8"/>
    <w:rsid w:val="00176254"/>
    <w:rsid w:val="0018100A"/>
    <w:rsid w:val="00181D91"/>
    <w:rsid w:val="00182416"/>
    <w:rsid w:val="0018289C"/>
    <w:rsid w:val="00182A58"/>
    <w:rsid w:val="00182DC2"/>
    <w:rsid w:val="001833EF"/>
    <w:rsid w:val="001834B9"/>
    <w:rsid w:val="0018372E"/>
    <w:rsid w:val="0018398E"/>
    <w:rsid w:val="001844E0"/>
    <w:rsid w:val="001848CB"/>
    <w:rsid w:val="00185741"/>
    <w:rsid w:val="00185D09"/>
    <w:rsid w:val="00185E72"/>
    <w:rsid w:val="0018667C"/>
    <w:rsid w:val="00186CF0"/>
    <w:rsid w:val="001903E1"/>
    <w:rsid w:val="001920B5"/>
    <w:rsid w:val="0019224E"/>
    <w:rsid w:val="00193BD3"/>
    <w:rsid w:val="00193EF4"/>
    <w:rsid w:val="0019409B"/>
    <w:rsid w:val="001949E2"/>
    <w:rsid w:val="00195B4C"/>
    <w:rsid w:val="00196317"/>
    <w:rsid w:val="001963AA"/>
    <w:rsid w:val="00196439"/>
    <w:rsid w:val="00197611"/>
    <w:rsid w:val="001A00C5"/>
    <w:rsid w:val="001A096E"/>
    <w:rsid w:val="001A1C02"/>
    <w:rsid w:val="001A208F"/>
    <w:rsid w:val="001A24CD"/>
    <w:rsid w:val="001A2711"/>
    <w:rsid w:val="001A2A64"/>
    <w:rsid w:val="001A2CFD"/>
    <w:rsid w:val="001A2E65"/>
    <w:rsid w:val="001A31DE"/>
    <w:rsid w:val="001A3654"/>
    <w:rsid w:val="001A3734"/>
    <w:rsid w:val="001A3D04"/>
    <w:rsid w:val="001A4EB0"/>
    <w:rsid w:val="001A5124"/>
    <w:rsid w:val="001A5A94"/>
    <w:rsid w:val="001A5DAF"/>
    <w:rsid w:val="001A6658"/>
    <w:rsid w:val="001A666F"/>
    <w:rsid w:val="001A6B97"/>
    <w:rsid w:val="001A7079"/>
    <w:rsid w:val="001A7725"/>
    <w:rsid w:val="001A786D"/>
    <w:rsid w:val="001A7C96"/>
    <w:rsid w:val="001B0DE1"/>
    <w:rsid w:val="001B10B5"/>
    <w:rsid w:val="001B157F"/>
    <w:rsid w:val="001B2A81"/>
    <w:rsid w:val="001B2D85"/>
    <w:rsid w:val="001B32DB"/>
    <w:rsid w:val="001B36A0"/>
    <w:rsid w:val="001B4529"/>
    <w:rsid w:val="001B4B71"/>
    <w:rsid w:val="001B4B8A"/>
    <w:rsid w:val="001B5D4F"/>
    <w:rsid w:val="001B616C"/>
    <w:rsid w:val="001B61AE"/>
    <w:rsid w:val="001B63A5"/>
    <w:rsid w:val="001C0C20"/>
    <w:rsid w:val="001C1AD9"/>
    <w:rsid w:val="001C1FD6"/>
    <w:rsid w:val="001C236D"/>
    <w:rsid w:val="001C3FF6"/>
    <w:rsid w:val="001C5B77"/>
    <w:rsid w:val="001C61AF"/>
    <w:rsid w:val="001C6248"/>
    <w:rsid w:val="001C68F7"/>
    <w:rsid w:val="001C6B19"/>
    <w:rsid w:val="001C74EC"/>
    <w:rsid w:val="001C7824"/>
    <w:rsid w:val="001C7B9C"/>
    <w:rsid w:val="001D0858"/>
    <w:rsid w:val="001D0F76"/>
    <w:rsid w:val="001D10B9"/>
    <w:rsid w:val="001D19CC"/>
    <w:rsid w:val="001D3D6A"/>
    <w:rsid w:val="001D3FF2"/>
    <w:rsid w:val="001D40C4"/>
    <w:rsid w:val="001D4CA3"/>
    <w:rsid w:val="001D4F4F"/>
    <w:rsid w:val="001D6E75"/>
    <w:rsid w:val="001D750C"/>
    <w:rsid w:val="001D7D5D"/>
    <w:rsid w:val="001D7F11"/>
    <w:rsid w:val="001E0B77"/>
    <w:rsid w:val="001E0CF3"/>
    <w:rsid w:val="001E167F"/>
    <w:rsid w:val="001E1B55"/>
    <w:rsid w:val="001E22FD"/>
    <w:rsid w:val="001E25DC"/>
    <w:rsid w:val="001E26A5"/>
    <w:rsid w:val="001E3374"/>
    <w:rsid w:val="001E35B4"/>
    <w:rsid w:val="001E3E62"/>
    <w:rsid w:val="001E49DC"/>
    <w:rsid w:val="001E4AA8"/>
    <w:rsid w:val="001E4B8F"/>
    <w:rsid w:val="001E4FF1"/>
    <w:rsid w:val="001E51D1"/>
    <w:rsid w:val="001E5224"/>
    <w:rsid w:val="001E5FE6"/>
    <w:rsid w:val="001E612D"/>
    <w:rsid w:val="001E69BA"/>
    <w:rsid w:val="001E6AFC"/>
    <w:rsid w:val="001E7DAF"/>
    <w:rsid w:val="001F02E4"/>
    <w:rsid w:val="001F052B"/>
    <w:rsid w:val="001F058F"/>
    <w:rsid w:val="001F141B"/>
    <w:rsid w:val="001F151F"/>
    <w:rsid w:val="001F155F"/>
    <w:rsid w:val="001F197F"/>
    <w:rsid w:val="001F1F9A"/>
    <w:rsid w:val="001F240F"/>
    <w:rsid w:val="001F25DD"/>
    <w:rsid w:val="001F2637"/>
    <w:rsid w:val="001F3047"/>
    <w:rsid w:val="001F31B0"/>
    <w:rsid w:val="001F344B"/>
    <w:rsid w:val="001F3480"/>
    <w:rsid w:val="001F4090"/>
    <w:rsid w:val="001F449D"/>
    <w:rsid w:val="001F46A7"/>
    <w:rsid w:val="001F4B82"/>
    <w:rsid w:val="001F4FD9"/>
    <w:rsid w:val="001F5390"/>
    <w:rsid w:val="001F6476"/>
    <w:rsid w:val="001F64C9"/>
    <w:rsid w:val="001F6CD3"/>
    <w:rsid w:val="001F73F4"/>
    <w:rsid w:val="001F74E8"/>
    <w:rsid w:val="002004B5"/>
    <w:rsid w:val="00200789"/>
    <w:rsid w:val="002009E5"/>
    <w:rsid w:val="00201642"/>
    <w:rsid w:val="00201908"/>
    <w:rsid w:val="00201A93"/>
    <w:rsid w:val="00202469"/>
    <w:rsid w:val="00202558"/>
    <w:rsid w:val="002025ED"/>
    <w:rsid w:val="00202B2B"/>
    <w:rsid w:val="00203083"/>
    <w:rsid w:val="00204CC6"/>
    <w:rsid w:val="00205DE3"/>
    <w:rsid w:val="0020685A"/>
    <w:rsid w:val="0020716C"/>
    <w:rsid w:val="00210466"/>
    <w:rsid w:val="00210C30"/>
    <w:rsid w:val="002120B5"/>
    <w:rsid w:val="00212750"/>
    <w:rsid w:val="00212BEF"/>
    <w:rsid w:val="00212E20"/>
    <w:rsid w:val="00213517"/>
    <w:rsid w:val="0021353B"/>
    <w:rsid w:val="0021373C"/>
    <w:rsid w:val="00213A90"/>
    <w:rsid w:val="00213B91"/>
    <w:rsid w:val="002143ED"/>
    <w:rsid w:val="00215200"/>
    <w:rsid w:val="00216069"/>
    <w:rsid w:val="00216902"/>
    <w:rsid w:val="00216B3D"/>
    <w:rsid w:val="002174C6"/>
    <w:rsid w:val="00217AE1"/>
    <w:rsid w:val="00217BA0"/>
    <w:rsid w:val="00217BC0"/>
    <w:rsid w:val="00217F26"/>
    <w:rsid w:val="00220117"/>
    <w:rsid w:val="00220559"/>
    <w:rsid w:val="00220E0D"/>
    <w:rsid w:val="002214BA"/>
    <w:rsid w:val="0022150B"/>
    <w:rsid w:val="00221F1D"/>
    <w:rsid w:val="00222677"/>
    <w:rsid w:val="002236FA"/>
    <w:rsid w:val="00223745"/>
    <w:rsid w:val="00224235"/>
    <w:rsid w:val="0022459D"/>
    <w:rsid w:val="00224FE9"/>
    <w:rsid w:val="00225554"/>
    <w:rsid w:val="00225C77"/>
    <w:rsid w:val="00226281"/>
    <w:rsid w:val="002268B8"/>
    <w:rsid w:val="00226B44"/>
    <w:rsid w:val="0022714E"/>
    <w:rsid w:val="00227A42"/>
    <w:rsid w:val="00230F98"/>
    <w:rsid w:val="002316B2"/>
    <w:rsid w:val="00231DE7"/>
    <w:rsid w:val="00232433"/>
    <w:rsid w:val="00232566"/>
    <w:rsid w:val="00232DF6"/>
    <w:rsid w:val="00233E21"/>
    <w:rsid w:val="00234B68"/>
    <w:rsid w:val="00235259"/>
    <w:rsid w:val="002356B1"/>
    <w:rsid w:val="00236551"/>
    <w:rsid w:val="00236BC0"/>
    <w:rsid w:val="00236C76"/>
    <w:rsid w:val="002372D8"/>
    <w:rsid w:val="002374FC"/>
    <w:rsid w:val="0023760C"/>
    <w:rsid w:val="00237B8A"/>
    <w:rsid w:val="00240184"/>
    <w:rsid w:val="00240E0C"/>
    <w:rsid w:val="0024124E"/>
    <w:rsid w:val="00241592"/>
    <w:rsid w:val="002426BF"/>
    <w:rsid w:val="00242856"/>
    <w:rsid w:val="002428ED"/>
    <w:rsid w:val="00242EEA"/>
    <w:rsid w:val="00243A8E"/>
    <w:rsid w:val="00244016"/>
    <w:rsid w:val="00244E28"/>
    <w:rsid w:val="00244F3A"/>
    <w:rsid w:val="00244FA0"/>
    <w:rsid w:val="002461B0"/>
    <w:rsid w:val="00246F58"/>
    <w:rsid w:val="00247602"/>
    <w:rsid w:val="00247C2C"/>
    <w:rsid w:val="00247DF8"/>
    <w:rsid w:val="00250000"/>
    <w:rsid w:val="00250A7A"/>
    <w:rsid w:val="00250AB1"/>
    <w:rsid w:val="00250E3C"/>
    <w:rsid w:val="00251EB0"/>
    <w:rsid w:val="002520A3"/>
    <w:rsid w:val="0025268D"/>
    <w:rsid w:val="00253707"/>
    <w:rsid w:val="0025390B"/>
    <w:rsid w:val="0025400C"/>
    <w:rsid w:val="002545D0"/>
    <w:rsid w:val="002552C7"/>
    <w:rsid w:val="002559A5"/>
    <w:rsid w:val="002559B4"/>
    <w:rsid w:val="0025641A"/>
    <w:rsid w:val="00256589"/>
    <w:rsid w:val="0025676F"/>
    <w:rsid w:val="00256A04"/>
    <w:rsid w:val="00257085"/>
    <w:rsid w:val="00257167"/>
    <w:rsid w:val="00257330"/>
    <w:rsid w:val="00257ABF"/>
    <w:rsid w:val="00257BE5"/>
    <w:rsid w:val="0026099B"/>
    <w:rsid w:val="00260A45"/>
    <w:rsid w:val="00260B50"/>
    <w:rsid w:val="00260E7F"/>
    <w:rsid w:val="0026182A"/>
    <w:rsid w:val="00261C09"/>
    <w:rsid w:val="0026281D"/>
    <w:rsid w:val="00262B01"/>
    <w:rsid w:val="00262E5E"/>
    <w:rsid w:val="0026331C"/>
    <w:rsid w:val="00263A9D"/>
    <w:rsid w:val="00264215"/>
    <w:rsid w:val="00264277"/>
    <w:rsid w:val="0026532B"/>
    <w:rsid w:val="0026599C"/>
    <w:rsid w:val="002662A2"/>
    <w:rsid w:val="0026633C"/>
    <w:rsid w:val="00266730"/>
    <w:rsid w:val="00267128"/>
    <w:rsid w:val="00267361"/>
    <w:rsid w:val="002678E4"/>
    <w:rsid w:val="00267DE7"/>
    <w:rsid w:val="00267F41"/>
    <w:rsid w:val="00270132"/>
    <w:rsid w:val="00270DC3"/>
    <w:rsid w:val="002712F3"/>
    <w:rsid w:val="00271502"/>
    <w:rsid w:val="002715F0"/>
    <w:rsid w:val="00271C02"/>
    <w:rsid w:val="00271CF2"/>
    <w:rsid w:val="00272183"/>
    <w:rsid w:val="0027277E"/>
    <w:rsid w:val="00272937"/>
    <w:rsid w:val="00272C73"/>
    <w:rsid w:val="00273005"/>
    <w:rsid w:val="0027300D"/>
    <w:rsid w:val="00273314"/>
    <w:rsid w:val="002749FB"/>
    <w:rsid w:val="00275065"/>
    <w:rsid w:val="00276B89"/>
    <w:rsid w:val="00276D77"/>
    <w:rsid w:val="0027721D"/>
    <w:rsid w:val="00280042"/>
    <w:rsid w:val="00280659"/>
    <w:rsid w:val="0028139B"/>
    <w:rsid w:val="00282067"/>
    <w:rsid w:val="00282177"/>
    <w:rsid w:val="00282800"/>
    <w:rsid w:val="00284592"/>
    <w:rsid w:val="0028461B"/>
    <w:rsid w:val="00284889"/>
    <w:rsid w:val="00284D28"/>
    <w:rsid w:val="0028512B"/>
    <w:rsid w:val="00285D1A"/>
    <w:rsid w:val="00285F60"/>
    <w:rsid w:val="002864DA"/>
    <w:rsid w:val="002873DC"/>
    <w:rsid w:val="00287449"/>
    <w:rsid w:val="00287B80"/>
    <w:rsid w:val="00287F41"/>
    <w:rsid w:val="00290146"/>
    <w:rsid w:val="00290517"/>
    <w:rsid w:val="00291095"/>
    <w:rsid w:val="0029137E"/>
    <w:rsid w:val="002914DE"/>
    <w:rsid w:val="0029193E"/>
    <w:rsid w:val="00291E13"/>
    <w:rsid w:val="0029216A"/>
    <w:rsid w:val="002929E2"/>
    <w:rsid w:val="00292A9C"/>
    <w:rsid w:val="002938BD"/>
    <w:rsid w:val="00293C10"/>
    <w:rsid w:val="00294032"/>
    <w:rsid w:val="002945DC"/>
    <w:rsid w:val="00294947"/>
    <w:rsid w:val="00294A44"/>
    <w:rsid w:val="00294A6C"/>
    <w:rsid w:val="00294D87"/>
    <w:rsid w:val="002952BA"/>
    <w:rsid w:val="002959B8"/>
    <w:rsid w:val="00295D85"/>
    <w:rsid w:val="00296819"/>
    <w:rsid w:val="0029725A"/>
    <w:rsid w:val="00297530"/>
    <w:rsid w:val="002A009D"/>
    <w:rsid w:val="002A0831"/>
    <w:rsid w:val="002A0A6C"/>
    <w:rsid w:val="002A254E"/>
    <w:rsid w:val="002A2BF6"/>
    <w:rsid w:val="002A2FCD"/>
    <w:rsid w:val="002A42D4"/>
    <w:rsid w:val="002A431F"/>
    <w:rsid w:val="002A447C"/>
    <w:rsid w:val="002A482E"/>
    <w:rsid w:val="002A4B25"/>
    <w:rsid w:val="002A4C6F"/>
    <w:rsid w:val="002A4F73"/>
    <w:rsid w:val="002A58A9"/>
    <w:rsid w:val="002A60B3"/>
    <w:rsid w:val="002A6143"/>
    <w:rsid w:val="002A6209"/>
    <w:rsid w:val="002A67F5"/>
    <w:rsid w:val="002A68AA"/>
    <w:rsid w:val="002A6CB7"/>
    <w:rsid w:val="002A79FF"/>
    <w:rsid w:val="002A7FB8"/>
    <w:rsid w:val="002B0726"/>
    <w:rsid w:val="002B08ED"/>
    <w:rsid w:val="002B0937"/>
    <w:rsid w:val="002B1626"/>
    <w:rsid w:val="002B18CF"/>
    <w:rsid w:val="002B1A71"/>
    <w:rsid w:val="002B2071"/>
    <w:rsid w:val="002B26AC"/>
    <w:rsid w:val="002B2E9B"/>
    <w:rsid w:val="002B310B"/>
    <w:rsid w:val="002B3284"/>
    <w:rsid w:val="002B3EBF"/>
    <w:rsid w:val="002B3FF3"/>
    <w:rsid w:val="002B42FC"/>
    <w:rsid w:val="002B46B6"/>
    <w:rsid w:val="002B48A6"/>
    <w:rsid w:val="002B5199"/>
    <w:rsid w:val="002B5AF4"/>
    <w:rsid w:val="002B5FB2"/>
    <w:rsid w:val="002B6725"/>
    <w:rsid w:val="002B6BB5"/>
    <w:rsid w:val="002B6BD1"/>
    <w:rsid w:val="002B7140"/>
    <w:rsid w:val="002B72A6"/>
    <w:rsid w:val="002B7495"/>
    <w:rsid w:val="002B7600"/>
    <w:rsid w:val="002B7721"/>
    <w:rsid w:val="002B78B6"/>
    <w:rsid w:val="002B7A7E"/>
    <w:rsid w:val="002B7D6B"/>
    <w:rsid w:val="002B7DBE"/>
    <w:rsid w:val="002C0288"/>
    <w:rsid w:val="002C0ADD"/>
    <w:rsid w:val="002C1177"/>
    <w:rsid w:val="002C1697"/>
    <w:rsid w:val="002C1874"/>
    <w:rsid w:val="002C18B3"/>
    <w:rsid w:val="002C26CF"/>
    <w:rsid w:val="002C2876"/>
    <w:rsid w:val="002C36EF"/>
    <w:rsid w:val="002C3A51"/>
    <w:rsid w:val="002C408D"/>
    <w:rsid w:val="002C4729"/>
    <w:rsid w:val="002C4A8A"/>
    <w:rsid w:val="002C4B2A"/>
    <w:rsid w:val="002C5038"/>
    <w:rsid w:val="002C5CD5"/>
    <w:rsid w:val="002C5E09"/>
    <w:rsid w:val="002C6749"/>
    <w:rsid w:val="002C7040"/>
    <w:rsid w:val="002C7078"/>
    <w:rsid w:val="002C7AC8"/>
    <w:rsid w:val="002C7C60"/>
    <w:rsid w:val="002D0337"/>
    <w:rsid w:val="002D0B4C"/>
    <w:rsid w:val="002D0C07"/>
    <w:rsid w:val="002D1012"/>
    <w:rsid w:val="002D1185"/>
    <w:rsid w:val="002D180D"/>
    <w:rsid w:val="002D18EA"/>
    <w:rsid w:val="002D2375"/>
    <w:rsid w:val="002D2823"/>
    <w:rsid w:val="002D2CC0"/>
    <w:rsid w:val="002D4402"/>
    <w:rsid w:val="002D4A60"/>
    <w:rsid w:val="002D4E61"/>
    <w:rsid w:val="002D5207"/>
    <w:rsid w:val="002D6187"/>
    <w:rsid w:val="002D7583"/>
    <w:rsid w:val="002D7796"/>
    <w:rsid w:val="002D7815"/>
    <w:rsid w:val="002D7BCB"/>
    <w:rsid w:val="002E0088"/>
    <w:rsid w:val="002E03CF"/>
    <w:rsid w:val="002E05B3"/>
    <w:rsid w:val="002E12A5"/>
    <w:rsid w:val="002E159F"/>
    <w:rsid w:val="002E1BA5"/>
    <w:rsid w:val="002E24BE"/>
    <w:rsid w:val="002E261F"/>
    <w:rsid w:val="002E32B2"/>
    <w:rsid w:val="002E4648"/>
    <w:rsid w:val="002E46EB"/>
    <w:rsid w:val="002E4AA6"/>
    <w:rsid w:val="002E5203"/>
    <w:rsid w:val="002E560A"/>
    <w:rsid w:val="002E669A"/>
    <w:rsid w:val="002E7046"/>
    <w:rsid w:val="002E707A"/>
    <w:rsid w:val="002F01C0"/>
    <w:rsid w:val="002F1560"/>
    <w:rsid w:val="002F16C7"/>
    <w:rsid w:val="002F1F0F"/>
    <w:rsid w:val="002F3169"/>
    <w:rsid w:val="002F3483"/>
    <w:rsid w:val="002F34AA"/>
    <w:rsid w:val="002F3897"/>
    <w:rsid w:val="002F3946"/>
    <w:rsid w:val="002F4045"/>
    <w:rsid w:val="002F421C"/>
    <w:rsid w:val="002F4384"/>
    <w:rsid w:val="002F532B"/>
    <w:rsid w:val="002F5C9B"/>
    <w:rsid w:val="002F6E24"/>
    <w:rsid w:val="002F75B6"/>
    <w:rsid w:val="002F7C45"/>
    <w:rsid w:val="0030015E"/>
    <w:rsid w:val="00300D1C"/>
    <w:rsid w:val="00301624"/>
    <w:rsid w:val="0030180A"/>
    <w:rsid w:val="00301851"/>
    <w:rsid w:val="0030198A"/>
    <w:rsid w:val="003022D1"/>
    <w:rsid w:val="00302318"/>
    <w:rsid w:val="003024F1"/>
    <w:rsid w:val="00302ADC"/>
    <w:rsid w:val="0030381D"/>
    <w:rsid w:val="00303BD0"/>
    <w:rsid w:val="003049FA"/>
    <w:rsid w:val="00304A8F"/>
    <w:rsid w:val="00304ADD"/>
    <w:rsid w:val="00304EF1"/>
    <w:rsid w:val="003056F3"/>
    <w:rsid w:val="003072F6"/>
    <w:rsid w:val="00307402"/>
    <w:rsid w:val="0031026D"/>
    <w:rsid w:val="0031044C"/>
    <w:rsid w:val="00310DFA"/>
    <w:rsid w:val="003111A9"/>
    <w:rsid w:val="00311566"/>
    <w:rsid w:val="00312A17"/>
    <w:rsid w:val="00312A5D"/>
    <w:rsid w:val="003130EE"/>
    <w:rsid w:val="00313306"/>
    <w:rsid w:val="00313324"/>
    <w:rsid w:val="003146E2"/>
    <w:rsid w:val="003152E6"/>
    <w:rsid w:val="00315B25"/>
    <w:rsid w:val="003160EE"/>
    <w:rsid w:val="0031695E"/>
    <w:rsid w:val="0031747B"/>
    <w:rsid w:val="00317708"/>
    <w:rsid w:val="00317C77"/>
    <w:rsid w:val="00317EDE"/>
    <w:rsid w:val="003204FB"/>
    <w:rsid w:val="0032067A"/>
    <w:rsid w:val="00320B71"/>
    <w:rsid w:val="00321260"/>
    <w:rsid w:val="00321A64"/>
    <w:rsid w:val="00321E6E"/>
    <w:rsid w:val="0032210D"/>
    <w:rsid w:val="00322B58"/>
    <w:rsid w:val="00324C0C"/>
    <w:rsid w:val="003254BC"/>
    <w:rsid w:val="003255F5"/>
    <w:rsid w:val="00325BF5"/>
    <w:rsid w:val="003261A1"/>
    <w:rsid w:val="00326CDE"/>
    <w:rsid w:val="0033015D"/>
    <w:rsid w:val="003303A6"/>
    <w:rsid w:val="003305F3"/>
    <w:rsid w:val="003307BC"/>
    <w:rsid w:val="0033091A"/>
    <w:rsid w:val="00330AA1"/>
    <w:rsid w:val="00330D2D"/>
    <w:rsid w:val="00331159"/>
    <w:rsid w:val="00331D37"/>
    <w:rsid w:val="00331E8F"/>
    <w:rsid w:val="00332AA3"/>
    <w:rsid w:val="00332F21"/>
    <w:rsid w:val="00332FD3"/>
    <w:rsid w:val="00333F06"/>
    <w:rsid w:val="00335273"/>
    <w:rsid w:val="00335566"/>
    <w:rsid w:val="00336822"/>
    <w:rsid w:val="003375B9"/>
    <w:rsid w:val="003379E0"/>
    <w:rsid w:val="00337F91"/>
    <w:rsid w:val="00340B57"/>
    <w:rsid w:val="00340F94"/>
    <w:rsid w:val="003410A8"/>
    <w:rsid w:val="00342F25"/>
    <w:rsid w:val="00343147"/>
    <w:rsid w:val="003431EE"/>
    <w:rsid w:val="003437E5"/>
    <w:rsid w:val="003438D6"/>
    <w:rsid w:val="0034489E"/>
    <w:rsid w:val="0034492B"/>
    <w:rsid w:val="00345676"/>
    <w:rsid w:val="00345954"/>
    <w:rsid w:val="00345C19"/>
    <w:rsid w:val="00345CAF"/>
    <w:rsid w:val="003465BA"/>
    <w:rsid w:val="00346779"/>
    <w:rsid w:val="00346CD5"/>
    <w:rsid w:val="00346DB7"/>
    <w:rsid w:val="00346F79"/>
    <w:rsid w:val="00346F7D"/>
    <w:rsid w:val="00347018"/>
    <w:rsid w:val="00347DB1"/>
    <w:rsid w:val="0035035B"/>
    <w:rsid w:val="003509E5"/>
    <w:rsid w:val="00351935"/>
    <w:rsid w:val="00351970"/>
    <w:rsid w:val="00351BD6"/>
    <w:rsid w:val="0035230C"/>
    <w:rsid w:val="003525D9"/>
    <w:rsid w:val="003531AA"/>
    <w:rsid w:val="003536BB"/>
    <w:rsid w:val="003536D4"/>
    <w:rsid w:val="003537BD"/>
    <w:rsid w:val="003539C5"/>
    <w:rsid w:val="00354CD5"/>
    <w:rsid w:val="003550B1"/>
    <w:rsid w:val="00355753"/>
    <w:rsid w:val="00355C45"/>
    <w:rsid w:val="00356010"/>
    <w:rsid w:val="003562A6"/>
    <w:rsid w:val="003570FA"/>
    <w:rsid w:val="003572CA"/>
    <w:rsid w:val="003577E0"/>
    <w:rsid w:val="0036007D"/>
    <w:rsid w:val="00360995"/>
    <w:rsid w:val="00361345"/>
    <w:rsid w:val="003639D6"/>
    <w:rsid w:val="00364734"/>
    <w:rsid w:val="00364D8E"/>
    <w:rsid w:val="00364E33"/>
    <w:rsid w:val="0036518A"/>
    <w:rsid w:val="0036570B"/>
    <w:rsid w:val="0036583C"/>
    <w:rsid w:val="003666D3"/>
    <w:rsid w:val="00366833"/>
    <w:rsid w:val="00367006"/>
    <w:rsid w:val="003677DE"/>
    <w:rsid w:val="003702A2"/>
    <w:rsid w:val="00370C48"/>
    <w:rsid w:val="00371E6A"/>
    <w:rsid w:val="00372217"/>
    <w:rsid w:val="00372FA8"/>
    <w:rsid w:val="00373C86"/>
    <w:rsid w:val="00375646"/>
    <w:rsid w:val="00375A4F"/>
    <w:rsid w:val="00376203"/>
    <w:rsid w:val="00376788"/>
    <w:rsid w:val="00376A7D"/>
    <w:rsid w:val="00376E50"/>
    <w:rsid w:val="00377CEE"/>
    <w:rsid w:val="00377F1B"/>
    <w:rsid w:val="003801C7"/>
    <w:rsid w:val="003803A5"/>
    <w:rsid w:val="0038053F"/>
    <w:rsid w:val="0038068E"/>
    <w:rsid w:val="0038093C"/>
    <w:rsid w:val="003814F5"/>
    <w:rsid w:val="00381719"/>
    <w:rsid w:val="00381760"/>
    <w:rsid w:val="003817A7"/>
    <w:rsid w:val="00381F34"/>
    <w:rsid w:val="00382473"/>
    <w:rsid w:val="0038260D"/>
    <w:rsid w:val="00382F1B"/>
    <w:rsid w:val="00383F78"/>
    <w:rsid w:val="00384C21"/>
    <w:rsid w:val="00384DD9"/>
    <w:rsid w:val="00384FC0"/>
    <w:rsid w:val="0038502C"/>
    <w:rsid w:val="003850DC"/>
    <w:rsid w:val="00386651"/>
    <w:rsid w:val="00386E10"/>
    <w:rsid w:val="003871E2"/>
    <w:rsid w:val="00387496"/>
    <w:rsid w:val="00390E01"/>
    <w:rsid w:val="00390F42"/>
    <w:rsid w:val="00392595"/>
    <w:rsid w:val="00392C3A"/>
    <w:rsid w:val="00392F37"/>
    <w:rsid w:val="00393E7C"/>
    <w:rsid w:val="00393FBA"/>
    <w:rsid w:val="003943C8"/>
    <w:rsid w:val="00394A23"/>
    <w:rsid w:val="00394D4C"/>
    <w:rsid w:val="00394EE4"/>
    <w:rsid w:val="003956CC"/>
    <w:rsid w:val="003A0D23"/>
    <w:rsid w:val="003A137B"/>
    <w:rsid w:val="003A1DC8"/>
    <w:rsid w:val="003A23E0"/>
    <w:rsid w:val="003A34BD"/>
    <w:rsid w:val="003A43B1"/>
    <w:rsid w:val="003A4D48"/>
    <w:rsid w:val="003A4E1C"/>
    <w:rsid w:val="003A588B"/>
    <w:rsid w:val="003A5EC5"/>
    <w:rsid w:val="003A6656"/>
    <w:rsid w:val="003A6689"/>
    <w:rsid w:val="003A6965"/>
    <w:rsid w:val="003A6C6A"/>
    <w:rsid w:val="003A748E"/>
    <w:rsid w:val="003A7885"/>
    <w:rsid w:val="003A7B31"/>
    <w:rsid w:val="003B04B8"/>
    <w:rsid w:val="003B0512"/>
    <w:rsid w:val="003B0C14"/>
    <w:rsid w:val="003B0D78"/>
    <w:rsid w:val="003B1F01"/>
    <w:rsid w:val="003B2736"/>
    <w:rsid w:val="003B2E71"/>
    <w:rsid w:val="003B41A5"/>
    <w:rsid w:val="003B456F"/>
    <w:rsid w:val="003B4647"/>
    <w:rsid w:val="003B570F"/>
    <w:rsid w:val="003B5713"/>
    <w:rsid w:val="003B65DD"/>
    <w:rsid w:val="003B6F0E"/>
    <w:rsid w:val="003B72BB"/>
    <w:rsid w:val="003B736B"/>
    <w:rsid w:val="003B7467"/>
    <w:rsid w:val="003B7625"/>
    <w:rsid w:val="003C0742"/>
    <w:rsid w:val="003C0B1C"/>
    <w:rsid w:val="003C1551"/>
    <w:rsid w:val="003C15B9"/>
    <w:rsid w:val="003C1F8C"/>
    <w:rsid w:val="003C278C"/>
    <w:rsid w:val="003C3085"/>
    <w:rsid w:val="003C41D6"/>
    <w:rsid w:val="003C424F"/>
    <w:rsid w:val="003C4989"/>
    <w:rsid w:val="003C6D67"/>
    <w:rsid w:val="003C759A"/>
    <w:rsid w:val="003C7887"/>
    <w:rsid w:val="003D0DF2"/>
    <w:rsid w:val="003D132C"/>
    <w:rsid w:val="003D1572"/>
    <w:rsid w:val="003D16A4"/>
    <w:rsid w:val="003D1DC2"/>
    <w:rsid w:val="003D21AF"/>
    <w:rsid w:val="003D235F"/>
    <w:rsid w:val="003D3821"/>
    <w:rsid w:val="003D39B7"/>
    <w:rsid w:val="003D3A55"/>
    <w:rsid w:val="003D4EB0"/>
    <w:rsid w:val="003D5005"/>
    <w:rsid w:val="003D560B"/>
    <w:rsid w:val="003D5AB1"/>
    <w:rsid w:val="003D5D63"/>
    <w:rsid w:val="003D642E"/>
    <w:rsid w:val="003D644B"/>
    <w:rsid w:val="003D6732"/>
    <w:rsid w:val="003D79DC"/>
    <w:rsid w:val="003D7EA8"/>
    <w:rsid w:val="003D7F3E"/>
    <w:rsid w:val="003D7FFA"/>
    <w:rsid w:val="003E0858"/>
    <w:rsid w:val="003E1A6B"/>
    <w:rsid w:val="003E26CF"/>
    <w:rsid w:val="003E26ED"/>
    <w:rsid w:val="003E2B26"/>
    <w:rsid w:val="003E2E6B"/>
    <w:rsid w:val="003E30AD"/>
    <w:rsid w:val="003E3FEF"/>
    <w:rsid w:val="003E47D2"/>
    <w:rsid w:val="003E4A7C"/>
    <w:rsid w:val="003E4D08"/>
    <w:rsid w:val="003E4D57"/>
    <w:rsid w:val="003E60BC"/>
    <w:rsid w:val="003E6298"/>
    <w:rsid w:val="003E6906"/>
    <w:rsid w:val="003E6D82"/>
    <w:rsid w:val="003F09F3"/>
    <w:rsid w:val="003F0AF7"/>
    <w:rsid w:val="003F1B69"/>
    <w:rsid w:val="003F20FA"/>
    <w:rsid w:val="003F2725"/>
    <w:rsid w:val="003F2D13"/>
    <w:rsid w:val="003F359B"/>
    <w:rsid w:val="003F4319"/>
    <w:rsid w:val="003F4664"/>
    <w:rsid w:val="003F5673"/>
    <w:rsid w:val="003F6658"/>
    <w:rsid w:val="003F6B1B"/>
    <w:rsid w:val="003F6DDB"/>
    <w:rsid w:val="003F7B37"/>
    <w:rsid w:val="003F7CFC"/>
    <w:rsid w:val="004002B1"/>
    <w:rsid w:val="00400799"/>
    <w:rsid w:val="00401614"/>
    <w:rsid w:val="00401BE3"/>
    <w:rsid w:val="00401D56"/>
    <w:rsid w:val="00403C33"/>
    <w:rsid w:val="004048A7"/>
    <w:rsid w:val="00404927"/>
    <w:rsid w:val="0040525C"/>
    <w:rsid w:val="00405270"/>
    <w:rsid w:val="0040576B"/>
    <w:rsid w:val="00405E64"/>
    <w:rsid w:val="004061F9"/>
    <w:rsid w:val="004066FC"/>
    <w:rsid w:val="00406B79"/>
    <w:rsid w:val="00407079"/>
    <w:rsid w:val="00407204"/>
    <w:rsid w:val="004072E4"/>
    <w:rsid w:val="0040768B"/>
    <w:rsid w:val="00407B0F"/>
    <w:rsid w:val="00407B52"/>
    <w:rsid w:val="00407BDF"/>
    <w:rsid w:val="0041028C"/>
    <w:rsid w:val="00410307"/>
    <w:rsid w:val="0041163C"/>
    <w:rsid w:val="004117C3"/>
    <w:rsid w:val="004119B4"/>
    <w:rsid w:val="004123DC"/>
    <w:rsid w:val="0041325F"/>
    <w:rsid w:val="00413495"/>
    <w:rsid w:val="00413B28"/>
    <w:rsid w:val="00413BE0"/>
    <w:rsid w:val="0041417B"/>
    <w:rsid w:val="00414645"/>
    <w:rsid w:val="00415174"/>
    <w:rsid w:val="004153FD"/>
    <w:rsid w:val="00415458"/>
    <w:rsid w:val="00415889"/>
    <w:rsid w:val="00415A1C"/>
    <w:rsid w:val="004164DD"/>
    <w:rsid w:val="0041657F"/>
    <w:rsid w:val="00416AE8"/>
    <w:rsid w:val="00420465"/>
    <w:rsid w:val="004204D7"/>
    <w:rsid w:val="00420F18"/>
    <w:rsid w:val="0042140A"/>
    <w:rsid w:val="00421716"/>
    <w:rsid w:val="0042190E"/>
    <w:rsid w:val="00421FDF"/>
    <w:rsid w:val="00422269"/>
    <w:rsid w:val="004229D5"/>
    <w:rsid w:val="00422A38"/>
    <w:rsid w:val="00423669"/>
    <w:rsid w:val="00423701"/>
    <w:rsid w:val="00423B1E"/>
    <w:rsid w:val="0042420D"/>
    <w:rsid w:val="004247D7"/>
    <w:rsid w:val="00426054"/>
    <w:rsid w:val="004271AE"/>
    <w:rsid w:val="00427370"/>
    <w:rsid w:val="00427EF3"/>
    <w:rsid w:val="00427F95"/>
    <w:rsid w:val="004302BC"/>
    <w:rsid w:val="004310C2"/>
    <w:rsid w:val="00432B79"/>
    <w:rsid w:val="004335BA"/>
    <w:rsid w:val="00435274"/>
    <w:rsid w:val="004359B3"/>
    <w:rsid w:val="00435D19"/>
    <w:rsid w:val="00435F18"/>
    <w:rsid w:val="004361C7"/>
    <w:rsid w:val="0043628C"/>
    <w:rsid w:val="00436BB2"/>
    <w:rsid w:val="00436D37"/>
    <w:rsid w:val="00437070"/>
    <w:rsid w:val="0043744F"/>
    <w:rsid w:val="0043753C"/>
    <w:rsid w:val="00437C7D"/>
    <w:rsid w:val="00437EED"/>
    <w:rsid w:val="0044113D"/>
    <w:rsid w:val="00441B42"/>
    <w:rsid w:val="00441E17"/>
    <w:rsid w:val="00442956"/>
    <w:rsid w:val="00442ED1"/>
    <w:rsid w:val="00442F0E"/>
    <w:rsid w:val="004430B4"/>
    <w:rsid w:val="00443A2D"/>
    <w:rsid w:val="00443D9D"/>
    <w:rsid w:val="00443F45"/>
    <w:rsid w:val="0044410A"/>
    <w:rsid w:val="00444919"/>
    <w:rsid w:val="00444ADE"/>
    <w:rsid w:val="00444C30"/>
    <w:rsid w:val="0044545A"/>
    <w:rsid w:val="00445793"/>
    <w:rsid w:val="00445875"/>
    <w:rsid w:val="00446BC6"/>
    <w:rsid w:val="00446CB8"/>
    <w:rsid w:val="004474B4"/>
    <w:rsid w:val="004504A1"/>
    <w:rsid w:val="00450624"/>
    <w:rsid w:val="004506E7"/>
    <w:rsid w:val="00450BDF"/>
    <w:rsid w:val="0045126A"/>
    <w:rsid w:val="00451994"/>
    <w:rsid w:val="00451C40"/>
    <w:rsid w:val="0045216E"/>
    <w:rsid w:val="0045217B"/>
    <w:rsid w:val="004521D1"/>
    <w:rsid w:val="004530A8"/>
    <w:rsid w:val="00453172"/>
    <w:rsid w:val="004533CA"/>
    <w:rsid w:val="00453F2E"/>
    <w:rsid w:val="00454158"/>
    <w:rsid w:val="00454FEB"/>
    <w:rsid w:val="004554DD"/>
    <w:rsid w:val="00455ACD"/>
    <w:rsid w:val="00455C11"/>
    <w:rsid w:val="00455F1A"/>
    <w:rsid w:val="00456A0C"/>
    <w:rsid w:val="00456E39"/>
    <w:rsid w:val="004576DA"/>
    <w:rsid w:val="00457EA9"/>
    <w:rsid w:val="00461AEC"/>
    <w:rsid w:val="00461BB5"/>
    <w:rsid w:val="0046218A"/>
    <w:rsid w:val="00462793"/>
    <w:rsid w:val="004629C2"/>
    <w:rsid w:val="00462CCF"/>
    <w:rsid w:val="00462D69"/>
    <w:rsid w:val="00462F04"/>
    <w:rsid w:val="004634EA"/>
    <w:rsid w:val="0046357C"/>
    <w:rsid w:val="00463E25"/>
    <w:rsid w:val="0046477E"/>
    <w:rsid w:val="00465174"/>
    <w:rsid w:val="0046573D"/>
    <w:rsid w:val="00465E70"/>
    <w:rsid w:val="00466B4B"/>
    <w:rsid w:val="00466F1B"/>
    <w:rsid w:val="0046712E"/>
    <w:rsid w:val="00467621"/>
    <w:rsid w:val="00467AE8"/>
    <w:rsid w:val="00467E08"/>
    <w:rsid w:val="00467F21"/>
    <w:rsid w:val="00470066"/>
    <w:rsid w:val="0047012D"/>
    <w:rsid w:val="0047032F"/>
    <w:rsid w:val="004708C3"/>
    <w:rsid w:val="00471146"/>
    <w:rsid w:val="0047191C"/>
    <w:rsid w:val="00471F27"/>
    <w:rsid w:val="00472543"/>
    <w:rsid w:val="00472783"/>
    <w:rsid w:val="00472924"/>
    <w:rsid w:val="00472BA8"/>
    <w:rsid w:val="00473B7E"/>
    <w:rsid w:val="00473E1F"/>
    <w:rsid w:val="004741A0"/>
    <w:rsid w:val="0047568E"/>
    <w:rsid w:val="00476680"/>
    <w:rsid w:val="00476D0D"/>
    <w:rsid w:val="0047785F"/>
    <w:rsid w:val="004779B2"/>
    <w:rsid w:val="00477A93"/>
    <w:rsid w:val="00477C36"/>
    <w:rsid w:val="00477C5D"/>
    <w:rsid w:val="00477CCF"/>
    <w:rsid w:val="00477D6E"/>
    <w:rsid w:val="00477DC9"/>
    <w:rsid w:val="00480359"/>
    <w:rsid w:val="0048052F"/>
    <w:rsid w:val="00480BFA"/>
    <w:rsid w:val="00480EE4"/>
    <w:rsid w:val="004810CD"/>
    <w:rsid w:val="00481BBF"/>
    <w:rsid w:val="00481E51"/>
    <w:rsid w:val="004824BB"/>
    <w:rsid w:val="00482E98"/>
    <w:rsid w:val="00484232"/>
    <w:rsid w:val="004842DA"/>
    <w:rsid w:val="00485BA6"/>
    <w:rsid w:val="00485BF4"/>
    <w:rsid w:val="00486D58"/>
    <w:rsid w:val="004874A3"/>
    <w:rsid w:val="004874D8"/>
    <w:rsid w:val="00487D43"/>
    <w:rsid w:val="00490421"/>
    <w:rsid w:val="0049057B"/>
    <w:rsid w:val="00490D00"/>
    <w:rsid w:val="00490D64"/>
    <w:rsid w:val="00490F9A"/>
    <w:rsid w:val="0049118E"/>
    <w:rsid w:val="004913BE"/>
    <w:rsid w:val="00491EEB"/>
    <w:rsid w:val="00491F89"/>
    <w:rsid w:val="004920CC"/>
    <w:rsid w:val="004924BD"/>
    <w:rsid w:val="0049363D"/>
    <w:rsid w:val="00493C9E"/>
    <w:rsid w:val="00493F3B"/>
    <w:rsid w:val="0049482E"/>
    <w:rsid w:val="004948B3"/>
    <w:rsid w:val="00495418"/>
    <w:rsid w:val="00495FD9"/>
    <w:rsid w:val="004965B3"/>
    <w:rsid w:val="00496DB7"/>
    <w:rsid w:val="00497669"/>
    <w:rsid w:val="004978EE"/>
    <w:rsid w:val="00497920"/>
    <w:rsid w:val="004A07AC"/>
    <w:rsid w:val="004A22F4"/>
    <w:rsid w:val="004A273E"/>
    <w:rsid w:val="004A2E68"/>
    <w:rsid w:val="004A2E69"/>
    <w:rsid w:val="004A33AC"/>
    <w:rsid w:val="004A49D1"/>
    <w:rsid w:val="004A5124"/>
    <w:rsid w:val="004A574C"/>
    <w:rsid w:val="004A5E10"/>
    <w:rsid w:val="004A6706"/>
    <w:rsid w:val="004A6B29"/>
    <w:rsid w:val="004A6E1D"/>
    <w:rsid w:val="004A7148"/>
    <w:rsid w:val="004A75E4"/>
    <w:rsid w:val="004B07DC"/>
    <w:rsid w:val="004B0B09"/>
    <w:rsid w:val="004B0B20"/>
    <w:rsid w:val="004B12F0"/>
    <w:rsid w:val="004B1697"/>
    <w:rsid w:val="004B1D16"/>
    <w:rsid w:val="004B2265"/>
    <w:rsid w:val="004B32F1"/>
    <w:rsid w:val="004B344B"/>
    <w:rsid w:val="004B3D63"/>
    <w:rsid w:val="004B52E1"/>
    <w:rsid w:val="004B5F8E"/>
    <w:rsid w:val="004B5FEE"/>
    <w:rsid w:val="004B6415"/>
    <w:rsid w:val="004B6A42"/>
    <w:rsid w:val="004B6C74"/>
    <w:rsid w:val="004B7717"/>
    <w:rsid w:val="004B77ED"/>
    <w:rsid w:val="004B7872"/>
    <w:rsid w:val="004B7CE8"/>
    <w:rsid w:val="004C0A97"/>
    <w:rsid w:val="004C1194"/>
    <w:rsid w:val="004C27BD"/>
    <w:rsid w:val="004C2DD2"/>
    <w:rsid w:val="004C317C"/>
    <w:rsid w:val="004C36D6"/>
    <w:rsid w:val="004C3EC9"/>
    <w:rsid w:val="004C4075"/>
    <w:rsid w:val="004C4415"/>
    <w:rsid w:val="004C4933"/>
    <w:rsid w:val="004C52FE"/>
    <w:rsid w:val="004C60BD"/>
    <w:rsid w:val="004C6280"/>
    <w:rsid w:val="004C705A"/>
    <w:rsid w:val="004C7820"/>
    <w:rsid w:val="004C7CE2"/>
    <w:rsid w:val="004D0044"/>
    <w:rsid w:val="004D01A5"/>
    <w:rsid w:val="004D0363"/>
    <w:rsid w:val="004D08F4"/>
    <w:rsid w:val="004D0AA7"/>
    <w:rsid w:val="004D0F20"/>
    <w:rsid w:val="004D13B5"/>
    <w:rsid w:val="004D1BE9"/>
    <w:rsid w:val="004D215C"/>
    <w:rsid w:val="004D27EA"/>
    <w:rsid w:val="004D38A3"/>
    <w:rsid w:val="004D4A74"/>
    <w:rsid w:val="004D4AD8"/>
    <w:rsid w:val="004D4ADD"/>
    <w:rsid w:val="004D4E0A"/>
    <w:rsid w:val="004D4F17"/>
    <w:rsid w:val="004D5A88"/>
    <w:rsid w:val="004D5CF0"/>
    <w:rsid w:val="004D686A"/>
    <w:rsid w:val="004D7565"/>
    <w:rsid w:val="004D7805"/>
    <w:rsid w:val="004E06A0"/>
    <w:rsid w:val="004E0A90"/>
    <w:rsid w:val="004E11F4"/>
    <w:rsid w:val="004E1B62"/>
    <w:rsid w:val="004E205D"/>
    <w:rsid w:val="004E2E1C"/>
    <w:rsid w:val="004E30C2"/>
    <w:rsid w:val="004E3575"/>
    <w:rsid w:val="004E4167"/>
    <w:rsid w:val="004E525D"/>
    <w:rsid w:val="004E53F7"/>
    <w:rsid w:val="004E58F2"/>
    <w:rsid w:val="004E5EAE"/>
    <w:rsid w:val="004E6CFA"/>
    <w:rsid w:val="004E6E8A"/>
    <w:rsid w:val="004E72C2"/>
    <w:rsid w:val="004E7337"/>
    <w:rsid w:val="004E7F5A"/>
    <w:rsid w:val="004F01BF"/>
    <w:rsid w:val="004F099A"/>
    <w:rsid w:val="004F09B3"/>
    <w:rsid w:val="004F103F"/>
    <w:rsid w:val="004F1D61"/>
    <w:rsid w:val="004F1E21"/>
    <w:rsid w:val="004F1ED6"/>
    <w:rsid w:val="004F1F7B"/>
    <w:rsid w:val="004F228A"/>
    <w:rsid w:val="004F22E9"/>
    <w:rsid w:val="004F24B0"/>
    <w:rsid w:val="004F28E7"/>
    <w:rsid w:val="004F2DCA"/>
    <w:rsid w:val="004F3D20"/>
    <w:rsid w:val="004F4426"/>
    <w:rsid w:val="004F4461"/>
    <w:rsid w:val="004F460E"/>
    <w:rsid w:val="004F4692"/>
    <w:rsid w:val="004F4BCA"/>
    <w:rsid w:val="004F5601"/>
    <w:rsid w:val="004F5D22"/>
    <w:rsid w:val="004F63B9"/>
    <w:rsid w:val="004F6F2C"/>
    <w:rsid w:val="004F7506"/>
    <w:rsid w:val="004F762E"/>
    <w:rsid w:val="004F7785"/>
    <w:rsid w:val="004F7E8C"/>
    <w:rsid w:val="00500731"/>
    <w:rsid w:val="0050100A"/>
    <w:rsid w:val="0050147E"/>
    <w:rsid w:val="005020CB"/>
    <w:rsid w:val="00502A55"/>
    <w:rsid w:val="00502CFF"/>
    <w:rsid w:val="00503717"/>
    <w:rsid w:val="005038DB"/>
    <w:rsid w:val="00503BD4"/>
    <w:rsid w:val="00505034"/>
    <w:rsid w:val="00505676"/>
    <w:rsid w:val="005056EA"/>
    <w:rsid w:val="0050574E"/>
    <w:rsid w:val="00507C25"/>
    <w:rsid w:val="00507FA9"/>
    <w:rsid w:val="0051060F"/>
    <w:rsid w:val="0051064D"/>
    <w:rsid w:val="0051093E"/>
    <w:rsid w:val="00510ABD"/>
    <w:rsid w:val="00510D12"/>
    <w:rsid w:val="005113D0"/>
    <w:rsid w:val="00511A39"/>
    <w:rsid w:val="00512862"/>
    <w:rsid w:val="005132E4"/>
    <w:rsid w:val="005140E8"/>
    <w:rsid w:val="0051543B"/>
    <w:rsid w:val="00517A78"/>
    <w:rsid w:val="005201F1"/>
    <w:rsid w:val="0052035E"/>
    <w:rsid w:val="00522480"/>
    <w:rsid w:val="005228AC"/>
    <w:rsid w:val="00522A41"/>
    <w:rsid w:val="00522EA4"/>
    <w:rsid w:val="00523F9C"/>
    <w:rsid w:val="005244D9"/>
    <w:rsid w:val="005245DF"/>
    <w:rsid w:val="0052562F"/>
    <w:rsid w:val="00525B67"/>
    <w:rsid w:val="00526292"/>
    <w:rsid w:val="00527B73"/>
    <w:rsid w:val="00527CA8"/>
    <w:rsid w:val="00530E0B"/>
    <w:rsid w:val="0053135F"/>
    <w:rsid w:val="005315F9"/>
    <w:rsid w:val="00532B5C"/>
    <w:rsid w:val="00532D7A"/>
    <w:rsid w:val="00532FB1"/>
    <w:rsid w:val="00533922"/>
    <w:rsid w:val="005341EE"/>
    <w:rsid w:val="005342FB"/>
    <w:rsid w:val="005343DB"/>
    <w:rsid w:val="005346A4"/>
    <w:rsid w:val="00534893"/>
    <w:rsid w:val="00534A26"/>
    <w:rsid w:val="00534D4F"/>
    <w:rsid w:val="00534E59"/>
    <w:rsid w:val="00535362"/>
    <w:rsid w:val="00536382"/>
    <w:rsid w:val="00536E44"/>
    <w:rsid w:val="00536E81"/>
    <w:rsid w:val="00536EAF"/>
    <w:rsid w:val="00540129"/>
    <w:rsid w:val="00540522"/>
    <w:rsid w:val="0054080A"/>
    <w:rsid w:val="00541199"/>
    <w:rsid w:val="00541913"/>
    <w:rsid w:val="00541A01"/>
    <w:rsid w:val="00542A98"/>
    <w:rsid w:val="00543ACD"/>
    <w:rsid w:val="00543CFA"/>
    <w:rsid w:val="00543FB9"/>
    <w:rsid w:val="0054418D"/>
    <w:rsid w:val="00544A05"/>
    <w:rsid w:val="00544CB7"/>
    <w:rsid w:val="0054503F"/>
    <w:rsid w:val="0054509B"/>
    <w:rsid w:val="0054517F"/>
    <w:rsid w:val="00545CC4"/>
    <w:rsid w:val="0054671A"/>
    <w:rsid w:val="00546D54"/>
    <w:rsid w:val="0054731D"/>
    <w:rsid w:val="00547899"/>
    <w:rsid w:val="00547DF8"/>
    <w:rsid w:val="00550163"/>
    <w:rsid w:val="00550CA7"/>
    <w:rsid w:val="005516C9"/>
    <w:rsid w:val="00551952"/>
    <w:rsid w:val="00551A04"/>
    <w:rsid w:val="00553810"/>
    <w:rsid w:val="00553829"/>
    <w:rsid w:val="005538FA"/>
    <w:rsid w:val="00554B2F"/>
    <w:rsid w:val="0055548D"/>
    <w:rsid w:val="00555542"/>
    <w:rsid w:val="00555C48"/>
    <w:rsid w:val="00555D6D"/>
    <w:rsid w:val="00556E1F"/>
    <w:rsid w:val="005571ED"/>
    <w:rsid w:val="0055730A"/>
    <w:rsid w:val="005573CA"/>
    <w:rsid w:val="00557B0E"/>
    <w:rsid w:val="005604B8"/>
    <w:rsid w:val="005604E8"/>
    <w:rsid w:val="00560CC1"/>
    <w:rsid w:val="0056126C"/>
    <w:rsid w:val="0056127A"/>
    <w:rsid w:val="005614C1"/>
    <w:rsid w:val="005623CE"/>
    <w:rsid w:val="00563230"/>
    <w:rsid w:val="00563267"/>
    <w:rsid w:val="00564CED"/>
    <w:rsid w:val="005650B9"/>
    <w:rsid w:val="00565EBC"/>
    <w:rsid w:val="005662F4"/>
    <w:rsid w:val="00566E90"/>
    <w:rsid w:val="00566FAF"/>
    <w:rsid w:val="005670E2"/>
    <w:rsid w:val="0056783F"/>
    <w:rsid w:val="005704AB"/>
    <w:rsid w:val="0057078F"/>
    <w:rsid w:val="00570D58"/>
    <w:rsid w:val="0057124B"/>
    <w:rsid w:val="00571C19"/>
    <w:rsid w:val="0057327E"/>
    <w:rsid w:val="00573B96"/>
    <w:rsid w:val="00574242"/>
    <w:rsid w:val="00574353"/>
    <w:rsid w:val="005746A2"/>
    <w:rsid w:val="005753E5"/>
    <w:rsid w:val="0057592F"/>
    <w:rsid w:val="00576132"/>
    <w:rsid w:val="00577024"/>
    <w:rsid w:val="00577A8E"/>
    <w:rsid w:val="005807BA"/>
    <w:rsid w:val="00580CE9"/>
    <w:rsid w:val="0058124A"/>
    <w:rsid w:val="0058132D"/>
    <w:rsid w:val="00583234"/>
    <w:rsid w:val="00583DA8"/>
    <w:rsid w:val="005845FD"/>
    <w:rsid w:val="00585D6D"/>
    <w:rsid w:val="00585F9F"/>
    <w:rsid w:val="005874FB"/>
    <w:rsid w:val="0058765E"/>
    <w:rsid w:val="00587E09"/>
    <w:rsid w:val="005901D4"/>
    <w:rsid w:val="00590707"/>
    <w:rsid w:val="00590A2E"/>
    <w:rsid w:val="005917A8"/>
    <w:rsid w:val="0059232C"/>
    <w:rsid w:val="00592628"/>
    <w:rsid w:val="00592D01"/>
    <w:rsid w:val="005930BC"/>
    <w:rsid w:val="005932E5"/>
    <w:rsid w:val="00593350"/>
    <w:rsid w:val="00593C81"/>
    <w:rsid w:val="00593DE5"/>
    <w:rsid w:val="00593F42"/>
    <w:rsid w:val="00594118"/>
    <w:rsid w:val="00594857"/>
    <w:rsid w:val="005958A8"/>
    <w:rsid w:val="00596399"/>
    <w:rsid w:val="00596718"/>
    <w:rsid w:val="00596826"/>
    <w:rsid w:val="00596A60"/>
    <w:rsid w:val="00596BD3"/>
    <w:rsid w:val="005970DE"/>
    <w:rsid w:val="00597A2D"/>
    <w:rsid w:val="005A08FE"/>
    <w:rsid w:val="005A1540"/>
    <w:rsid w:val="005A1911"/>
    <w:rsid w:val="005A1A8A"/>
    <w:rsid w:val="005A21EB"/>
    <w:rsid w:val="005A2354"/>
    <w:rsid w:val="005A296C"/>
    <w:rsid w:val="005A3063"/>
    <w:rsid w:val="005A392D"/>
    <w:rsid w:val="005A3B55"/>
    <w:rsid w:val="005A3B72"/>
    <w:rsid w:val="005A4202"/>
    <w:rsid w:val="005A42ED"/>
    <w:rsid w:val="005A491A"/>
    <w:rsid w:val="005A5798"/>
    <w:rsid w:val="005A598C"/>
    <w:rsid w:val="005A5998"/>
    <w:rsid w:val="005A5F32"/>
    <w:rsid w:val="005A6D9C"/>
    <w:rsid w:val="005A7722"/>
    <w:rsid w:val="005A7A82"/>
    <w:rsid w:val="005B012E"/>
    <w:rsid w:val="005B01DD"/>
    <w:rsid w:val="005B0506"/>
    <w:rsid w:val="005B0DC7"/>
    <w:rsid w:val="005B0FE8"/>
    <w:rsid w:val="005B11DD"/>
    <w:rsid w:val="005B19F2"/>
    <w:rsid w:val="005B1C58"/>
    <w:rsid w:val="005B2C78"/>
    <w:rsid w:val="005B3792"/>
    <w:rsid w:val="005B37E4"/>
    <w:rsid w:val="005B414A"/>
    <w:rsid w:val="005B4153"/>
    <w:rsid w:val="005B4303"/>
    <w:rsid w:val="005B4611"/>
    <w:rsid w:val="005B4D0C"/>
    <w:rsid w:val="005B5483"/>
    <w:rsid w:val="005B5904"/>
    <w:rsid w:val="005B5B54"/>
    <w:rsid w:val="005B5D55"/>
    <w:rsid w:val="005B6EE0"/>
    <w:rsid w:val="005B73C1"/>
    <w:rsid w:val="005B752C"/>
    <w:rsid w:val="005C014C"/>
    <w:rsid w:val="005C04B5"/>
    <w:rsid w:val="005C0CFF"/>
    <w:rsid w:val="005C0ECE"/>
    <w:rsid w:val="005C1258"/>
    <w:rsid w:val="005C1859"/>
    <w:rsid w:val="005C189F"/>
    <w:rsid w:val="005C19AF"/>
    <w:rsid w:val="005C1C2E"/>
    <w:rsid w:val="005C240B"/>
    <w:rsid w:val="005C2775"/>
    <w:rsid w:val="005C2CB3"/>
    <w:rsid w:val="005C35A3"/>
    <w:rsid w:val="005C35CF"/>
    <w:rsid w:val="005C39C0"/>
    <w:rsid w:val="005C3F62"/>
    <w:rsid w:val="005C4200"/>
    <w:rsid w:val="005C42A5"/>
    <w:rsid w:val="005C4C76"/>
    <w:rsid w:val="005C4CBD"/>
    <w:rsid w:val="005C4DA4"/>
    <w:rsid w:val="005C59BA"/>
    <w:rsid w:val="005C6160"/>
    <w:rsid w:val="005C6BAB"/>
    <w:rsid w:val="005C7670"/>
    <w:rsid w:val="005C7D50"/>
    <w:rsid w:val="005C7E11"/>
    <w:rsid w:val="005C7F78"/>
    <w:rsid w:val="005D0B7D"/>
    <w:rsid w:val="005D13BE"/>
    <w:rsid w:val="005D1724"/>
    <w:rsid w:val="005D1B64"/>
    <w:rsid w:val="005D1C86"/>
    <w:rsid w:val="005D1E53"/>
    <w:rsid w:val="005D50BB"/>
    <w:rsid w:val="005D5187"/>
    <w:rsid w:val="005D518B"/>
    <w:rsid w:val="005D5A63"/>
    <w:rsid w:val="005D5C2D"/>
    <w:rsid w:val="005D694F"/>
    <w:rsid w:val="005D696F"/>
    <w:rsid w:val="005D704B"/>
    <w:rsid w:val="005D7B06"/>
    <w:rsid w:val="005E0A90"/>
    <w:rsid w:val="005E0EDB"/>
    <w:rsid w:val="005E13C5"/>
    <w:rsid w:val="005E1B4E"/>
    <w:rsid w:val="005E2BEA"/>
    <w:rsid w:val="005E2EFA"/>
    <w:rsid w:val="005E3680"/>
    <w:rsid w:val="005E3A16"/>
    <w:rsid w:val="005E4144"/>
    <w:rsid w:val="005E438F"/>
    <w:rsid w:val="005E454F"/>
    <w:rsid w:val="005E4866"/>
    <w:rsid w:val="005E5118"/>
    <w:rsid w:val="005E5149"/>
    <w:rsid w:val="005E5192"/>
    <w:rsid w:val="005E62DF"/>
    <w:rsid w:val="005E6A21"/>
    <w:rsid w:val="005E6DAD"/>
    <w:rsid w:val="005E758C"/>
    <w:rsid w:val="005E79C6"/>
    <w:rsid w:val="005F0031"/>
    <w:rsid w:val="005F0454"/>
    <w:rsid w:val="005F0693"/>
    <w:rsid w:val="005F0A5B"/>
    <w:rsid w:val="005F0C2C"/>
    <w:rsid w:val="005F0D3B"/>
    <w:rsid w:val="005F1237"/>
    <w:rsid w:val="005F2EF7"/>
    <w:rsid w:val="005F34A8"/>
    <w:rsid w:val="005F39FE"/>
    <w:rsid w:val="005F3A0E"/>
    <w:rsid w:val="005F3BA5"/>
    <w:rsid w:val="005F3CDC"/>
    <w:rsid w:val="005F453B"/>
    <w:rsid w:val="005F4A72"/>
    <w:rsid w:val="005F4CBF"/>
    <w:rsid w:val="005F505A"/>
    <w:rsid w:val="005F572A"/>
    <w:rsid w:val="005F5F24"/>
    <w:rsid w:val="005F641C"/>
    <w:rsid w:val="005F6436"/>
    <w:rsid w:val="005F6568"/>
    <w:rsid w:val="005F6C43"/>
    <w:rsid w:val="005F6E1A"/>
    <w:rsid w:val="005F711B"/>
    <w:rsid w:val="005F720D"/>
    <w:rsid w:val="005F7F62"/>
    <w:rsid w:val="00600604"/>
    <w:rsid w:val="00600E12"/>
    <w:rsid w:val="00601311"/>
    <w:rsid w:val="0060177C"/>
    <w:rsid w:val="006017F9"/>
    <w:rsid w:val="00601BCE"/>
    <w:rsid w:val="006030FD"/>
    <w:rsid w:val="00603278"/>
    <w:rsid w:val="0060380C"/>
    <w:rsid w:val="006040A0"/>
    <w:rsid w:val="00604D3F"/>
    <w:rsid w:val="00605107"/>
    <w:rsid w:val="00605B19"/>
    <w:rsid w:val="00605B9F"/>
    <w:rsid w:val="00605EF3"/>
    <w:rsid w:val="00606309"/>
    <w:rsid w:val="0060671F"/>
    <w:rsid w:val="006069DA"/>
    <w:rsid w:val="00606BEC"/>
    <w:rsid w:val="006100DA"/>
    <w:rsid w:val="006105D6"/>
    <w:rsid w:val="00610C3B"/>
    <w:rsid w:val="00610F5E"/>
    <w:rsid w:val="006117E3"/>
    <w:rsid w:val="0061190D"/>
    <w:rsid w:val="0061279E"/>
    <w:rsid w:val="00612825"/>
    <w:rsid w:val="00613210"/>
    <w:rsid w:val="006133A7"/>
    <w:rsid w:val="0061357D"/>
    <w:rsid w:val="006137AC"/>
    <w:rsid w:val="00613D84"/>
    <w:rsid w:val="006149BB"/>
    <w:rsid w:val="00614AE1"/>
    <w:rsid w:val="00615255"/>
    <w:rsid w:val="00615796"/>
    <w:rsid w:val="0061590B"/>
    <w:rsid w:val="00615D1B"/>
    <w:rsid w:val="006160C7"/>
    <w:rsid w:val="00616C00"/>
    <w:rsid w:val="00616E46"/>
    <w:rsid w:val="00616E83"/>
    <w:rsid w:val="00617BDF"/>
    <w:rsid w:val="00620C5E"/>
    <w:rsid w:val="00620E13"/>
    <w:rsid w:val="006212BA"/>
    <w:rsid w:val="006214E2"/>
    <w:rsid w:val="00621C61"/>
    <w:rsid w:val="00622159"/>
    <w:rsid w:val="0062221F"/>
    <w:rsid w:val="0062254F"/>
    <w:rsid w:val="0062268A"/>
    <w:rsid w:val="00623357"/>
    <w:rsid w:val="006233D0"/>
    <w:rsid w:val="00623681"/>
    <w:rsid w:val="00624144"/>
    <w:rsid w:val="00624B42"/>
    <w:rsid w:val="00624CA6"/>
    <w:rsid w:val="00625C1A"/>
    <w:rsid w:val="00625E6C"/>
    <w:rsid w:val="006261D0"/>
    <w:rsid w:val="006264D8"/>
    <w:rsid w:val="00627633"/>
    <w:rsid w:val="0062792E"/>
    <w:rsid w:val="00627AEF"/>
    <w:rsid w:val="00630434"/>
    <w:rsid w:val="00630CA6"/>
    <w:rsid w:val="0063107F"/>
    <w:rsid w:val="00632211"/>
    <w:rsid w:val="00632538"/>
    <w:rsid w:val="00633648"/>
    <w:rsid w:val="00633D90"/>
    <w:rsid w:val="006352E8"/>
    <w:rsid w:val="006356E5"/>
    <w:rsid w:val="00635B98"/>
    <w:rsid w:val="00636498"/>
    <w:rsid w:val="00637054"/>
    <w:rsid w:val="00637280"/>
    <w:rsid w:val="00637505"/>
    <w:rsid w:val="00637B1E"/>
    <w:rsid w:val="00637FAE"/>
    <w:rsid w:val="00640422"/>
    <w:rsid w:val="006413F4"/>
    <w:rsid w:val="00641B70"/>
    <w:rsid w:val="006427DC"/>
    <w:rsid w:val="00642921"/>
    <w:rsid w:val="00642B1D"/>
    <w:rsid w:val="00642EE2"/>
    <w:rsid w:val="00643994"/>
    <w:rsid w:val="00644CA0"/>
    <w:rsid w:val="0064505B"/>
    <w:rsid w:val="006450E0"/>
    <w:rsid w:val="00645284"/>
    <w:rsid w:val="0064567A"/>
    <w:rsid w:val="006466D3"/>
    <w:rsid w:val="00647350"/>
    <w:rsid w:val="00647960"/>
    <w:rsid w:val="00647EB6"/>
    <w:rsid w:val="00650857"/>
    <w:rsid w:val="00650B75"/>
    <w:rsid w:val="00652585"/>
    <w:rsid w:val="00652651"/>
    <w:rsid w:val="006530B2"/>
    <w:rsid w:val="00653C89"/>
    <w:rsid w:val="0065486A"/>
    <w:rsid w:val="00654A04"/>
    <w:rsid w:val="006557A9"/>
    <w:rsid w:val="00656532"/>
    <w:rsid w:val="00657208"/>
    <w:rsid w:val="006578C8"/>
    <w:rsid w:val="006579DD"/>
    <w:rsid w:val="00660151"/>
    <w:rsid w:val="00660AC8"/>
    <w:rsid w:val="006611C8"/>
    <w:rsid w:val="00662A7A"/>
    <w:rsid w:val="00662CF1"/>
    <w:rsid w:val="006637DF"/>
    <w:rsid w:val="0066381D"/>
    <w:rsid w:val="00664020"/>
    <w:rsid w:val="0066460E"/>
    <w:rsid w:val="00665A97"/>
    <w:rsid w:val="00665E84"/>
    <w:rsid w:val="0066611C"/>
    <w:rsid w:val="0066634E"/>
    <w:rsid w:val="00666D74"/>
    <w:rsid w:val="00667A28"/>
    <w:rsid w:val="00667AB6"/>
    <w:rsid w:val="006708DB"/>
    <w:rsid w:val="00670A41"/>
    <w:rsid w:val="00670B06"/>
    <w:rsid w:val="00670F37"/>
    <w:rsid w:val="00671021"/>
    <w:rsid w:val="006710C3"/>
    <w:rsid w:val="00671EC3"/>
    <w:rsid w:val="0067206B"/>
    <w:rsid w:val="0067283A"/>
    <w:rsid w:val="00672D2C"/>
    <w:rsid w:val="00673662"/>
    <w:rsid w:val="006737FD"/>
    <w:rsid w:val="0067394E"/>
    <w:rsid w:val="00673A48"/>
    <w:rsid w:val="00674632"/>
    <w:rsid w:val="0067468D"/>
    <w:rsid w:val="00674B56"/>
    <w:rsid w:val="00674C99"/>
    <w:rsid w:val="00674F6D"/>
    <w:rsid w:val="006756B0"/>
    <w:rsid w:val="006758B5"/>
    <w:rsid w:val="00675C6D"/>
    <w:rsid w:val="00675C7E"/>
    <w:rsid w:val="00675C80"/>
    <w:rsid w:val="00676379"/>
    <w:rsid w:val="006763F5"/>
    <w:rsid w:val="00676A4C"/>
    <w:rsid w:val="00676D35"/>
    <w:rsid w:val="006770F7"/>
    <w:rsid w:val="006774E2"/>
    <w:rsid w:val="00677A8B"/>
    <w:rsid w:val="00677BF1"/>
    <w:rsid w:val="00677F0E"/>
    <w:rsid w:val="00680882"/>
    <w:rsid w:val="00680D0E"/>
    <w:rsid w:val="00681086"/>
    <w:rsid w:val="00681A94"/>
    <w:rsid w:val="00681D2B"/>
    <w:rsid w:val="00681E98"/>
    <w:rsid w:val="00682687"/>
    <w:rsid w:val="006828DE"/>
    <w:rsid w:val="006833C2"/>
    <w:rsid w:val="00683719"/>
    <w:rsid w:val="006839FD"/>
    <w:rsid w:val="00685114"/>
    <w:rsid w:val="006851BD"/>
    <w:rsid w:val="0068583C"/>
    <w:rsid w:val="00685D32"/>
    <w:rsid w:val="006862B3"/>
    <w:rsid w:val="006862CD"/>
    <w:rsid w:val="006864A4"/>
    <w:rsid w:val="0068651F"/>
    <w:rsid w:val="00687BA0"/>
    <w:rsid w:val="00687F81"/>
    <w:rsid w:val="00687FD4"/>
    <w:rsid w:val="0069079C"/>
    <w:rsid w:val="00691388"/>
    <w:rsid w:val="006913CD"/>
    <w:rsid w:val="00691444"/>
    <w:rsid w:val="006916A9"/>
    <w:rsid w:val="00691D3A"/>
    <w:rsid w:val="00692831"/>
    <w:rsid w:val="0069427F"/>
    <w:rsid w:val="0069464D"/>
    <w:rsid w:val="00694B5D"/>
    <w:rsid w:val="00695A27"/>
    <w:rsid w:val="00695BC8"/>
    <w:rsid w:val="00695E47"/>
    <w:rsid w:val="0069600C"/>
    <w:rsid w:val="00696214"/>
    <w:rsid w:val="00696494"/>
    <w:rsid w:val="0069756A"/>
    <w:rsid w:val="0069770E"/>
    <w:rsid w:val="00697FEB"/>
    <w:rsid w:val="006A0121"/>
    <w:rsid w:val="006A04C7"/>
    <w:rsid w:val="006A0810"/>
    <w:rsid w:val="006A0ED4"/>
    <w:rsid w:val="006A14F3"/>
    <w:rsid w:val="006A27F9"/>
    <w:rsid w:val="006A2C70"/>
    <w:rsid w:val="006A3A22"/>
    <w:rsid w:val="006A42CA"/>
    <w:rsid w:val="006A4A3B"/>
    <w:rsid w:val="006A5BAF"/>
    <w:rsid w:val="006A671A"/>
    <w:rsid w:val="006A6BD2"/>
    <w:rsid w:val="006A6D86"/>
    <w:rsid w:val="006A75C8"/>
    <w:rsid w:val="006A7718"/>
    <w:rsid w:val="006A7978"/>
    <w:rsid w:val="006A7D66"/>
    <w:rsid w:val="006A7E73"/>
    <w:rsid w:val="006B0ECA"/>
    <w:rsid w:val="006B1626"/>
    <w:rsid w:val="006B35C9"/>
    <w:rsid w:val="006B36D3"/>
    <w:rsid w:val="006B3B48"/>
    <w:rsid w:val="006B3E63"/>
    <w:rsid w:val="006B4A10"/>
    <w:rsid w:val="006B5002"/>
    <w:rsid w:val="006B580B"/>
    <w:rsid w:val="006B5B62"/>
    <w:rsid w:val="006B6641"/>
    <w:rsid w:val="006B67FF"/>
    <w:rsid w:val="006B6CBD"/>
    <w:rsid w:val="006B6D18"/>
    <w:rsid w:val="006B6DCB"/>
    <w:rsid w:val="006B77EA"/>
    <w:rsid w:val="006B789C"/>
    <w:rsid w:val="006B7D52"/>
    <w:rsid w:val="006C06C6"/>
    <w:rsid w:val="006C0BDB"/>
    <w:rsid w:val="006C0F30"/>
    <w:rsid w:val="006C1919"/>
    <w:rsid w:val="006C1D1B"/>
    <w:rsid w:val="006C1E5A"/>
    <w:rsid w:val="006C1EE5"/>
    <w:rsid w:val="006C22E8"/>
    <w:rsid w:val="006C2ED5"/>
    <w:rsid w:val="006C30B8"/>
    <w:rsid w:val="006C30C7"/>
    <w:rsid w:val="006C4F4D"/>
    <w:rsid w:val="006C586F"/>
    <w:rsid w:val="006C5D6B"/>
    <w:rsid w:val="006C5F03"/>
    <w:rsid w:val="006C6D23"/>
    <w:rsid w:val="006C7ADC"/>
    <w:rsid w:val="006C7B32"/>
    <w:rsid w:val="006C7D9E"/>
    <w:rsid w:val="006D0116"/>
    <w:rsid w:val="006D016E"/>
    <w:rsid w:val="006D0698"/>
    <w:rsid w:val="006D0C7B"/>
    <w:rsid w:val="006D1BEC"/>
    <w:rsid w:val="006D1D26"/>
    <w:rsid w:val="006D1DE5"/>
    <w:rsid w:val="006D201B"/>
    <w:rsid w:val="006D2062"/>
    <w:rsid w:val="006D235A"/>
    <w:rsid w:val="006D4638"/>
    <w:rsid w:val="006D46E2"/>
    <w:rsid w:val="006D4B63"/>
    <w:rsid w:val="006D513D"/>
    <w:rsid w:val="006D51FC"/>
    <w:rsid w:val="006D5386"/>
    <w:rsid w:val="006D53B8"/>
    <w:rsid w:val="006D56BC"/>
    <w:rsid w:val="006D5B46"/>
    <w:rsid w:val="006D5E4B"/>
    <w:rsid w:val="006D6235"/>
    <w:rsid w:val="006D6EA2"/>
    <w:rsid w:val="006D7993"/>
    <w:rsid w:val="006E0D80"/>
    <w:rsid w:val="006E121F"/>
    <w:rsid w:val="006E17EC"/>
    <w:rsid w:val="006E1AC2"/>
    <w:rsid w:val="006E278A"/>
    <w:rsid w:val="006E2A49"/>
    <w:rsid w:val="006E2F6F"/>
    <w:rsid w:val="006E3131"/>
    <w:rsid w:val="006E3A7F"/>
    <w:rsid w:val="006E3B27"/>
    <w:rsid w:val="006E3BFA"/>
    <w:rsid w:val="006E44A7"/>
    <w:rsid w:val="006E4ECA"/>
    <w:rsid w:val="006E52BD"/>
    <w:rsid w:val="006E66B7"/>
    <w:rsid w:val="006F0C68"/>
    <w:rsid w:val="006F1141"/>
    <w:rsid w:val="006F1BFD"/>
    <w:rsid w:val="006F2581"/>
    <w:rsid w:val="006F2AC1"/>
    <w:rsid w:val="006F2CAB"/>
    <w:rsid w:val="006F32C3"/>
    <w:rsid w:val="006F37DA"/>
    <w:rsid w:val="006F3BAC"/>
    <w:rsid w:val="006F3BE2"/>
    <w:rsid w:val="006F3E77"/>
    <w:rsid w:val="006F47B9"/>
    <w:rsid w:val="006F4AAE"/>
    <w:rsid w:val="006F56CE"/>
    <w:rsid w:val="006F5F97"/>
    <w:rsid w:val="006F6857"/>
    <w:rsid w:val="006F6A12"/>
    <w:rsid w:val="006F6DF7"/>
    <w:rsid w:val="006F7BCC"/>
    <w:rsid w:val="0070058A"/>
    <w:rsid w:val="00700E2D"/>
    <w:rsid w:val="00700E8E"/>
    <w:rsid w:val="0070183B"/>
    <w:rsid w:val="007018F4"/>
    <w:rsid w:val="00701C34"/>
    <w:rsid w:val="00701EEA"/>
    <w:rsid w:val="007029F5"/>
    <w:rsid w:val="00702FE2"/>
    <w:rsid w:val="007031A9"/>
    <w:rsid w:val="0070423F"/>
    <w:rsid w:val="00704347"/>
    <w:rsid w:val="0070448F"/>
    <w:rsid w:val="007046BE"/>
    <w:rsid w:val="00705011"/>
    <w:rsid w:val="0070504B"/>
    <w:rsid w:val="007073DB"/>
    <w:rsid w:val="00707CA4"/>
    <w:rsid w:val="0071021C"/>
    <w:rsid w:val="007105CB"/>
    <w:rsid w:val="00710661"/>
    <w:rsid w:val="00710770"/>
    <w:rsid w:val="00710FFF"/>
    <w:rsid w:val="007110AC"/>
    <w:rsid w:val="007112E5"/>
    <w:rsid w:val="00711845"/>
    <w:rsid w:val="007119DD"/>
    <w:rsid w:val="00711A36"/>
    <w:rsid w:val="00712137"/>
    <w:rsid w:val="00712B76"/>
    <w:rsid w:val="00712C24"/>
    <w:rsid w:val="007157EF"/>
    <w:rsid w:val="00715D23"/>
    <w:rsid w:val="00716338"/>
    <w:rsid w:val="00716520"/>
    <w:rsid w:val="00716D4C"/>
    <w:rsid w:val="00717158"/>
    <w:rsid w:val="007173BD"/>
    <w:rsid w:val="00717432"/>
    <w:rsid w:val="0071760B"/>
    <w:rsid w:val="00717704"/>
    <w:rsid w:val="0071795A"/>
    <w:rsid w:val="007208DA"/>
    <w:rsid w:val="00720C74"/>
    <w:rsid w:val="00720D56"/>
    <w:rsid w:val="00721C9B"/>
    <w:rsid w:val="00721F8F"/>
    <w:rsid w:val="00722239"/>
    <w:rsid w:val="007222F5"/>
    <w:rsid w:val="007238BE"/>
    <w:rsid w:val="00723C21"/>
    <w:rsid w:val="00724007"/>
    <w:rsid w:val="007244F5"/>
    <w:rsid w:val="007255B2"/>
    <w:rsid w:val="00726532"/>
    <w:rsid w:val="00726B79"/>
    <w:rsid w:val="0072710D"/>
    <w:rsid w:val="00727404"/>
    <w:rsid w:val="007308C3"/>
    <w:rsid w:val="00730C55"/>
    <w:rsid w:val="00731247"/>
    <w:rsid w:val="00731352"/>
    <w:rsid w:val="007313B6"/>
    <w:rsid w:val="00732DBA"/>
    <w:rsid w:val="00733153"/>
    <w:rsid w:val="007332D3"/>
    <w:rsid w:val="00733580"/>
    <w:rsid w:val="00733642"/>
    <w:rsid w:val="007337BA"/>
    <w:rsid w:val="00734210"/>
    <w:rsid w:val="0073504B"/>
    <w:rsid w:val="00735A89"/>
    <w:rsid w:val="00736679"/>
    <w:rsid w:val="007367AB"/>
    <w:rsid w:val="00737812"/>
    <w:rsid w:val="007403BB"/>
    <w:rsid w:val="00740D1D"/>
    <w:rsid w:val="00740D99"/>
    <w:rsid w:val="00742660"/>
    <w:rsid w:val="0074278D"/>
    <w:rsid w:val="00742872"/>
    <w:rsid w:val="00742F4C"/>
    <w:rsid w:val="007433A8"/>
    <w:rsid w:val="00743BA0"/>
    <w:rsid w:val="00743D7E"/>
    <w:rsid w:val="007440B2"/>
    <w:rsid w:val="00744BF8"/>
    <w:rsid w:val="00744C1A"/>
    <w:rsid w:val="00744FCF"/>
    <w:rsid w:val="00745727"/>
    <w:rsid w:val="00745844"/>
    <w:rsid w:val="00745C19"/>
    <w:rsid w:val="00746705"/>
    <w:rsid w:val="00746E22"/>
    <w:rsid w:val="0075059C"/>
    <w:rsid w:val="007508D2"/>
    <w:rsid w:val="00750FA5"/>
    <w:rsid w:val="007512D0"/>
    <w:rsid w:val="007514A8"/>
    <w:rsid w:val="0075238A"/>
    <w:rsid w:val="00752899"/>
    <w:rsid w:val="007528A9"/>
    <w:rsid w:val="00752D54"/>
    <w:rsid w:val="00752D98"/>
    <w:rsid w:val="00752F1E"/>
    <w:rsid w:val="00754581"/>
    <w:rsid w:val="007547D0"/>
    <w:rsid w:val="00754A07"/>
    <w:rsid w:val="00754BAF"/>
    <w:rsid w:val="00754F37"/>
    <w:rsid w:val="00755ACA"/>
    <w:rsid w:val="00755E60"/>
    <w:rsid w:val="0075689E"/>
    <w:rsid w:val="007568A1"/>
    <w:rsid w:val="00756CA9"/>
    <w:rsid w:val="00757024"/>
    <w:rsid w:val="00757055"/>
    <w:rsid w:val="007574B1"/>
    <w:rsid w:val="00760285"/>
    <w:rsid w:val="00760655"/>
    <w:rsid w:val="00760678"/>
    <w:rsid w:val="00760A5C"/>
    <w:rsid w:val="0076169B"/>
    <w:rsid w:val="00761BF7"/>
    <w:rsid w:val="00761CC8"/>
    <w:rsid w:val="00761D0A"/>
    <w:rsid w:val="0076334B"/>
    <w:rsid w:val="00765675"/>
    <w:rsid w:val="0076582C"/>
    <w:rsid w:val="007658EF"/>
    <w:rsid w:val="00765F87"/>
    <w:rsid w:val="0076611E"/>
    <w:rsid w:val="00766881"/>
    <w:rsid w:val="00766B91"/>
    <w:rsid w:val="00767958"/>
    <w:rsid w:val="00767BEE"/>
    <w:rsid w:val="00770176"/>
    <w:rsid w:val="007701C0"/>
    <w:rsid w:val="00770853"/>
    <w:rsid w:val="00771258"/>
    <w:rsid w:val="0077161B"/>
    <w:rsid w:val="00771AC1"/>
    <w:rsid w:val="00771EF7"/>
    <w:rsid w:val="00771F2B"/>
    <w:rsid w:val="007726D3"/>
    <w:rsid w:val="00772E9C"/>
    <w:rsid w:val="007732D4"/>
    <w:rsid w:val="00774F4C"/>
    <w:rsid w:val="00774F8E"/>
    <w:rsid w:val="00775307"/>
    <w:rsid w:val="00776B79"/>
    <w:rsid w:val="00776E3A"/>
    <w:rsid w:val="007774C9"/>
    <w:rsid w:val="00777B03"/>
    <w:rsid w:val="00780159"/>
    <w:rsid w:val="007803D3"/>
    <w:rsid w:val="0078041A"/>
    <w:rsid w:val="0078071C"/>
    <w:rsid w:val="00781544"/>
    <w:rsid w:val="00782840"/>
    <w:rsid w:val="00782E22"/>
    <w:rsid w:val="00782F98"/>
    <w:rsid w:val="0078333C"/>
    <w:rsid w:val="007853A6"/>
    <w:rsid w:val="00785548"/>
    <w:rsid w:val="007861AB"/>
    <w:rsid w:val="00786767"/>
    <w:rsid w:val="0078687B"/>
    <w:rsid w:val="00786E1D"/>
    <w:rsid w:val="00786FDF"/>
    <w:rsid w:val="0078764E"/>
    <w:rsid w:val="00787E7F"/>
    <w:rsid w:val="00787F56"/>
    <w:rsid w:val="00790034"/>
    <w:rsid w:val="00790902"/>
    <w:rsid w:val="00790E5A"/>
    <w:rsid w:val="00791255"/>
    <w:rsid w:val="007914CC"/>
    <w:rsid w:val="00791559"/>
    <w:rsid w:val="00791B66"/>
    <w:rsid w:val="00791C7A"/>
    <w:rsid w:val="00791F3C"/>
    <w:rsid w:val="00792754"/>
    <w:rsid w:val="0079291C"/>
    <w:rsid w:val="00792DC9"/>
    <w:rsid w:val="0079497E"/>
    <w:rsid w:val="00797E7C"/>
    <w:rsid w:val="007A013D"/>
    <w:rsid w:val="007A077E"/>
    <w:rsid w:val="007A09D0"/>
    <w:rsid w:val="007A16DC"/>
    <w:rsid w:val="007A1897"/>
    <w:rsid w:val="007A22E5"/>
    <w:rsid w:val="007A263B"/>
    <w:rsid w:val="007A26E6"/>
    <w:rsid w:val="007A28FE"/>
    <w:rsid w:val="007A3FBB"/>
    <w:rsid w:val="007A45DB"/>
    <w:rsid w:val="007A61E5"/>
    <w:rsid w:val="007A7AE1"/>
    <w:rsid w:val="007A7BCA"/>
    <w:rsid w:val="007B0131"/>
    <w:rsid w:val="007B015F"/>
    <w:rsid w:val="007B035F"/>
    <w:rsid w:val="007B03FE"/>
    <w:rsid w:val="007B0583"/>
    <w:rsid w:val="007B09D2"/>
    <w:rsid w:val="007B0DA7"/>
    <w:rsid w:val="007B24D9"/>
    <w:rsid w:val="007B25CB"/>
    <w:rsid w:val="007B29A2"/>
    <w:rsid w:val="007B355D"/>
    <w:rsid w:val="007B3AFC"/>
    <w:rsid w:val="007B5110"/>
    <w:rsid w:val="007B596F"/>
    <w:rsid w:val="007B5FF2"/>
    <w:rsid w:val="007B629A"/>
    <w:rsid w:val="007B6452"/>
    <w:rsid w:val="007B6CD5"/>
    <w:rsid w:val="007B7168"/>
    <w:rsid w:val="007C00FC"/>
    <w:rsid w:val="007C03E4"/>
    <w:rsid w:val="007C051A"/>
    <w:rsid w:val="007C0B82"/>
    <w:rsid w:val="007C0CF7"/>
    <w:rsid w:val="007C17D6"/>
    <w:rsid w:val="007C1B6B"/>
    <w:rsid w:val="007C23F3"/>
    <w:rsid w:val="007C3506"/>
    <w:rsid w:val="007C378A"/>
    <w:rsid w:val="007C39DA"/>
    <w:rsid w:val="007C4328"/>
    <w:rsid w:val="007C4A12"/>
    <w:rsid w:val="007C5DFE"/>
    <w:rsid w:val="007C63B2"/>
    <w:rsid w:val="007C742B"/>
    <w:rsid w:val="007D03F7"/>
    <w:rsid w:val="007D052A"/>
    <w:rsid w:val="007D0A1E"/>
    <w:rsid w:val="007D13AD"/>
    <w:rsid w:val="007D15FF"/>
    <w:rsid w:val="007D297B"/>
    <w:rsid w:val="007D2AFC"/>
    <w:rsid w:val="007D2C20"/>
    <w:rsid w:val="007D30E7"/>
    <w:rsid w:val="007D4620"/>
    <w:rsid w:val="007D468F"/>
    <w:rsid w:val="007D4867"/>
    <w:rsid w:val="007D4BA6"/>
    <w:rsid w:val="007D500C"/>
    <w:rsid w:val="007D567F"/>
    <w:rsid w:val="007D5B3B"/>
    <w:rsid w:val="007D68AF"/>
    <w:rsid w:val="007D7F3E"/>
    <w:rsid w:val="007E1441"/>
    <w:rsid w:val="007E1D4F"/>
    <w:rsid w:val="007E353A"/>
    <w:rsid w:val="007E39BE"/>
    <w:rsid w:val="007E43E0"/>
    <w:rsid w:val="007E5323"/>
    <w:rsid w:val="007E532F"/>
    <w:rsid w:val="007E5414"/>
    <w:rsid w:val="007E5B46"/>
    <w:rsid w:val="007E5D23"/>
    <w:rsid w:val="007E62C5"/>
    <w:rsid w:val="007E659A"/>
    <w:rsid w:val="007E69FD"/>
    <w:rsid w:val="007E6E27"/>
    <w:rsid w:val="007F00EC"/>
    <w:rsid w:val="007F0130"/>
    <w:rsid w:val="007F0396"/>
    <w:rsid w:val="007F075E"/>
    <w:rsid w:val="007F21E6"/>
    <w:rsid w:val="007F2C8D"/>
    <w:rsid w:val="007F2CDE"/>
    <w:rsid w:val="007F2E5C"/>
    <w:rsid w:val="007F3C3D"/>
    <w:rsid w:val="007F3C5D"/>
    <w:rsid w:val="007F469F"/>
    <w:rsid w:val="007F51E1"/>
    <w:rsid w:val="007F5863"/>
    <w:rsid w:val="007F65BF"/>
    <w:rsid w:val="007F75AB"/>
    <w:rsid w:val="007F7895"/>
    <w:rsid w:val="007F7AC9"/>
    <w:rsid w:val="008013F4"/>
    <w:rsid w:val="00801E74"/>
    <w:rsid w:val="00801EF1"/>
    <w:rsid w:val="0080256C"/>
    <w:rsid w:val="008026EF"/>
    <w:rsid w:val="0080349D"/>
    <w:rsid w:val="008038FF"/>
    <w:rsid w:val="00803989"/>
    <w:rsid w:val="008039A6"/>
    <w:rsid w:val="00803C43"/>
    <w:rsid w:val="0080417F"/>
    <w:rsid w:val="00804E59"/>
    <w:rsid w:val="00805371"/>
    <w:rsid w:val="0080708F"/>
    <w:rsid w:val="008070C0"/>
    <w:rsid w:val="008072BC"/>
    <w:rsid w:val="00807B62"/>
    <w:rsid w:val="00810693"/>
    <w:rsid w:val="00811D3A"/>
    <w:rsid w:val="00812A23"/>
    <w:rsid w:val="00812A37"/>
    <w:rsid w:val="00812B24"/>
    <w:rsid w:val="00813399"/>
    <w:rsid w:val="00813D84"/>
    <w:rsid w:val="00813F48"/>
    <w:rsid w:val="00814252"/>
    <w:rsid w:val="00814950"/>
    <w:rsid w:val="00814EC4"/>
    <w:rsid w:val="00815D2D"/>
    <w:rsid w:val="00815EEB"/>
    <w:rsid w:val="00815F18"/>
    <w:rsid w:val="008161BB"/>
    <w:rsid w:val="008165F7"/>
    <w:rsid w:val="008168CF"/>
    <w:rsid w:val="008178A9"/>
    <w:rsid w:val="0082076D"/>
    <w:rsid w:val="00821727"/>
    <w:rsid w:val="00822054"/>
    <w:rsid w:val="0082268B"/>
    <w:rsid w:val="00823DBE"/>
    <w:rsid w:val="00823F78"/>
    <w:rsid w:val="0082418E"/>
    <w:rsid w:val="00824608"/>
    <w:rsid w:val="00824959"/>
    <w:rsid w:val="00824F2F"/>
    <w:rsid w:val="008251CE"/>
    <w:rsid w:val="00827B0A"/>
    <w:rsid w:val="00831AA0"/>
    <w:rsid w:val="00832483"/>
    <w:rsid w:val="0083285B"/>
    <w:rsid w:val="00833094"/>
    <w:rsid w:val="008332E9"/>
    <w:rsid w:val="0083379C"/>
    <w:rsid w:val="00833D09"/>
    <w:rsid w:val="008352E2"/>
    <w:rsid w:val="00835521"/>
    <w:rsid w:val="0083638A"/>
    <w:rsid w:val="008366D7"/>
    <w:rsid w:val="008370FD"/>
    <w:rsid w:val="00840071"/>
    <w:rsid w:val="008407D7"/>
    <w:rsid w:val="00840BD2"/>
    <w:rsid w:val="00840C6F"/>
    <w:rsid w:val="00840D3A"/>
    <w:rsid w:val="00840EBE"/>
    <w:rsid w:val="008414CF"/>
    <w:rsid w:val="00841D63"/>
    <w:rsid w:val="00842931"/>
    <w:rsid w:val="0084320D"/>
    <w:rsid w:val="008433B9"/>
    <w:rsid w:val="00843553"/>
    <w:rsid w:val="00843D12"/>
    <w:rsid w:val="00844677"/>
    <w:rsid w:val="00844963"/>
    <w:rsid w:val="00844A91"/>
    <w:rsid w:val="00845268"/>
    <w:rsid w:val="008454CD"/>
    <w:rsid w:val="0084648F"/>
    <w:rsid w:val="00846777"/>
    <w:rsid w:val="008468A8"/>
    <w:rsid w:val="00846F6C"/>
    <w:rsid w:val="008473EB"/>
    <w:rsid w:val="0084740E"/>
    <w:rsid w:val="00847743"/>
    <w:rsid w:val="00847BE7"/>
    <w:rsid w:val="00847DA6"/>
    <w:rsid w:val="00850001"/>
    <w:rsid w:val="00850217"/>
    <w:rsid w:val="008502F9"/>
    <w:rsid w:val="008506A2"/>
    <w:rsid w:val="008515A1"/>
    <w:rsid w:val="008517D6"/>
    <w:rsid w:val="00851BD4"/>
    <w:rsid w:val="00851DA8"/>
    <w:rsid w:val="00852083"/>
    <w:rsid w:val="00853289"/>
    <w:rsid w:val="00853E80"/>
    <w:rsid w:val="00853FEC"/>
    <w:rsid w:val="00854249"/>
    <w:rsid w:val="00854512"/>
    <w:rsid w:val="0085455D"/>
    <w:rsid w:val="008546EB"/>
    <w:rsid w:val="00854F50"/>
    <w:rsid w:val="00855760"/>
    <w:rsid w:val="00855A6A"/>
    <w:rsid w:val="00856099"/>
    <w:rsid w:val="008560AB"/>
    <w:rsid w:val="0085730C"/>
    <w:rsid w:val="008601EC"/>
    <w:rsid w:val="008606E9"/>
    <w:rsid w:val="008622BC"/>
    <w:rsid w:val="00862CC5"/>
    <w:rsid w:val="00862DBC"/>
    <w:rsid w:val="00863BF2"/>
    <w:rsid w:val="00863E24"/>
    <w:rsid w:val="00864737"/>
    <w:rsid w:val="00864B00"/>
    <w:rsid w:val="00864C85"/>
    <w:rsid w:val="0086508C"/>
    <w:rsid w:val="00865EFF"/>
    <w:rsid w:val="008661D5"/>
    <w:rsid w:val="00866751"/>
    <w:rsid w:val="00866A4E"/>
    <w:rsid w:val="00866ADF"/>
    <w:rsid w:val="00866B13"/>
    <w:rsid w:val="008670F0"/>
    <w:rsid w:val="00867544"/>
    <w:rsid w:val="0086796B"/>
    <w:rsid w:val="00867EA2"/>
    <w:rsid w:val="008707A1"/>
    <w:rsid w:val="0087116E"/>
    <w:rsid w:val="00871650"/>
    <w:rsid w:val="008718FD"/>
    <w:rsid w:val="00871D4C"/>
    <w:rsid w:val="00871E23"/>
    <w:rsid w:val="00872525"/>
    <w:rsid w:val="00872A10"/>
    <w:rsid w:val="00873C76"/>
    <w:rsid w:val="0087434D"/>
    <w:rsid w:val="00874E7C"/>
    <w:rsid w:val="008757E1"/>
    <w:rsid w:val="008759E3"/>
    <w:rsid w:val="00875B59"/>
    <w:rsid w:val="0087667E"/>
    <w:rsid w:val="00876837"/>
    <w:rsid w:val="00876926"/>
    <w:rsid w:val="008771D2"/>
    <w:rsid w:val="008778C9"/>
    <w:rsid w:val="00877D8C"/>
    <w:rsid w:val="0088017A"/>
    <w:rsid w:val="0088089A"/>
    <w:rsid w:val="0088151D"/>
    <w:rsid w:val="00881ACE"/>
    <w:rsid w:val="00881F41"/>
    <w:rsid w:val="00881F59"/>
    <w:rsid w:val="008829B0"/>
    <w:rsid w:val="008837F1"/>
    <w:rsid w:val="00883B46"/>
    <w:rsid w:val="00884702"/>
    <w:rsid w:val="00884A21"/>
    <w:rsid w:val="00884C50"/>
    <w:rsid w:val="00885924"/>
    <w:rsid w:val="00885AA8"/>
    <w:rsid w:val="00885AF7"/>
    <w:rsid w:val="00886E5C"/>
    <w:rsid w:val="00887193"/>
    <w:rsid w:val="008875FE"/>
    <w:rsid w:val="00887894"/>
    <w:rsid w:val="0088795C"/>
    <w:rsid w:val="00887A3C"/>
    <w:rsid w:val="008901DE"/>
    <w:rsid w:val="00890ABA"/>
    <w:rsid w:val="00890BD6"/>
    <w:rsid w:val="00891762"/>
    <w:rsid w:val="00891CFE"/>
    <w:rsid w:val="008921F8"/>
    <w:rsid w:val="008932B1"/>
    <w:rsid w:val="00894178"/>
    <w:rsid w:val="00894229"/>
    <w:rsid w:val="00894FB8"/>
    <w:rsid w:val="0089577A"/>
    <w:rsid w:val="00895A8A"/>
    <w:rsid w:val="00895AD8"/>
    <w:rsid w:val="008969DE"/>
    <w:rsid w:val="00896E7B"/>
    <w:rsid w:val="00896F2B"/>
    <w:rsid w:val="008970A2"/>
    <w:rsid w:val="00897144"/>
    <w:rsid w:val="008977D8"/>
    <w:rsid w:val="008A022D"/>
    <w:rsid w:val="008A100A"/>
    <w:rsid w:val="008A132F"/>
    <w:rsid w:val="008A1CE3"/>
    <w:rsid w:val="008A2104"/>
    <w:rsid w:val="008A2248"/>
    <w:rsid w:val="008A241D"/>
    <w:rsid w:val="008A3630"/>
    <w:rsid w:val="008A39DB"/>
    <w:rsid w:val="008A42AB"/>
    <w:rsid w:val="008A4358"/>
    <w:rsid w:val="008A488A"/>
    <w:rsid w:val="008A59EA"/>
    <w:rsid w:val="008A61A7"/>
    <w:rsid w:val="008A7A70"/>
    <w:rsid w:val="008B015B"/>
    <w:rsid w:val="008B07B6"/>
    <w:rsid w:val="008B0CA6"/>
    <w:rsid w:val="008B15BE"/>
    <w:rsid w:val="008B162E"/>
    <w:rsid w:val="008B2804"/>
    <w:rsid w:val="008B31B8"/>
    <w:rsid w:val="008B3278"/>
    <w:rsid w:val="008B352B"/>
    <w:rsid w:val="008B3909"/>
    <w:rsid w:val="008B3EBE"/>
    <w:rsid w:val="008B48C2"/>
    <w:rsid w:val="008B4EEC"/>
    <w:rsid w:val="008B5528"/>
    <w:rsid w:val="008B5995"/>
    <w:rsid w:val="008B5C1E"/>
    <w:rsid w:val="008B5F22"/>
    <w:rsid w:val="008B5FA5"/>
    <w:rsid w:val="008B78EA"/>
    <w:rsid w:val="008B7BC1"/>
    <w:rsid w:val="008C0632"/>
    <w:rsid w:val="008C0BC2"/>
    <w:rsid w:val="008C0EEE"/>
    <w:rsid w:val="008C13D2"/>
    <w:rsid w:val="008C1C7C"/>
    <w:rsid w:val="008C1FAB"/>
    <w:rsid w:val="008C20C1"/>
    <w:rsid w:val="008C2C5C"/>
    <w:rsid w:val="008C305E"/>
    <w:rsid w:val="008C3202"/>
    <w:rsid w:val="008C420A"/>
    <w:rsid w:val="008C4404"/>
    <w:rsid w:val="008C45D2"/>
    <w:rsid w:val="008C499C"/>
    <w:rsid w:val="008C4BB5"/>
    <w:rsid w:val="008C4D03"/>
    <w:rsid w:val="008C5007"/>
    <w:rsid w:val="008C53F0"/>
    <w:rsid w:val="008C5746"/>
    <w:rsid w:val="008C5F02"/>
    <w:rsid w:val="008C69EC"/>
    <w:rsid w:val="008C6ACD"/>
    <w:rsid w:val="008C788B"/>
    <w:rsid w:val="008C7949"/>
    <w:rsid w:val="008D1193"/>
    <w:rsid w:val="008D1333"/>
    <w:rsid w:val="008D1C17"/>
    <w:rsid w:val="008D23F7"/>
    <w:rsid w:val="008D3785"/>
    <w:rsid w:val="008D399A"/>
    <w:rsid w:val="008D4535"/>
    <w:rsid w:val="008D4847"/>
    <w:rsid w:val="008D5C58"/>
    <w:rsid w:val="008D5DA1"/>
    <w:rsid w:val="008D6182"/>
    <w:rsid w:val="008D63AA"/>
    <w:rsid w:val="008D6E70"/>
    <w:rsid w:val="008D79CB"/>
    <w:rsid w:val="008D7E66"/>
    <w:rsid w:val="008E0059"/>
    <w:rsid w:val="008E022A"/>
    <w:rsid w:val="008E0CF5"/>
    <w:rsid w:val="008E17B0"/>
    <w:rsid w:val="008E18C8"/>
    <w:rsid w:val="008E3324"/>
    <w:rsid w:val="008E40C6"/>
    <w:rsid w:val="008E44D1"/>
    <w:rsid w:val="008E49A9"/>
    <w:rsid w:val="008E4B5A"/>
    <w:rsid w:val="008E5180"/>
    <w:rsid w:val="008E5501"/>
    <w:rsid w:val="008E5ACD"/>
    <w:rsid w:val="008E5D33"/>
    <w:rsid w:val="008E5F0D"/>
    <w:rsid w:val="008E65C2"/>
    <w:rsid w:val="008F0061"/>
    <w:rsid w:val="008F1877"/>
    <w:rsid w:val="008F18DA"/>
    <w:rsid w:val="008F1AC8"/>
    <w:rsid w:val="008F2A01"/>
    <w:rsid w:val="008F2DFF"/>
    <w:rsid w:val="008F2ED6"/>
    <w:rsid w:val="008F3747"/>
    <w:rsid w:val="008F4ADF"/>
    <w:rsid w:val="008F55C5"/>
    <w:rsid w:val="008F60FF"/>
    <w:rsid w:val="008F61AB"/>
    <w:rsid w:val="008F6565"/>
    <w:rsid w:val="008F66CE"/>
    <w:rsid w:val="008F6A01"/>
    <w:rsid w:val="008F7363"/>
    <w:rsid w:val="008F7675"/>
    <w:rsid w:val="008F7AC8"/>
    <w:rsid w:val="008F7FD2"/>
    <w:rsid w:val="00900880"/>
    <w:rsid w:val="0090381E"/>
    <w:rsid w:val="00904C62"/>
    <w:rsid w:val="0090564C"/>
    <w:rsid w:val="00905689"/>
    <w:rsid w:val="00906486"/>
    <w:rsid w:val="009067DE"/>
    <w:rsid w:val="00906BBD"/>
    <w:rsid w:val="00906D92"/>
    <w:rsid w:val="00907647"/>
    <w:rsid w:val="009111C2"/>
    <w:rsid w:val="00911553"/>
    <w:rsid w:val="00911695"/>
    <w:rsid w:val="00911DC1"/>
    <w:rsid w:val="00911DCE"/>
    <w:rsid w:val="009120C2"/>
    <w:rsid w:val="0091243D"/>
    <w:rsid w:val="0091293D"/>
    <w:rsid w:val="00912D47"/>
    <w:rsid w:val="00913271"/>
    <w:rsid w:val="00913601"/>
    <w:rsid w:val="00914052"/>
    <w:rsid w:val="00914B18"/>
    <w:rsid w:val="00914C00"/>
    <w:rsid w:val="009155CE"/>
    <w:rsid w:val="009163CE"/>
    <w:rsid w:val="00916626"/>
    <w:rsid w:val="00916A29"/>
    <w:rsid w:val="0091738D"/>
    <w:rsid w:val="00917D39"/>
    <w:rsid w:val="00920127"/>
    <w:rsid w:val="009201B3"/>
    <w:rsid w:val="009206C8"/>
    <w:rsid w:val="009209D7"/>
    <w:rsid w:val="00920DE1"/>
    <w:rsid w:val="009216CE"/>
    <w:rsid w:val="00922D32"/>
    <w:rsid w:val="009230A5"/>
    <w:rsid w:val="009234D7"/>
    <w:rsid w:val="00924627"/>
    <w:rsid w:val="00925259"/>
    <w:rsid w:val="00925574"/>
    <w:rsid w:val="00925970"/>
    <w:rsid w:val="00925A30"/>
    <w:rsid w:val="00925D05"/>
    <w:rsid w:val="00925E57"/>
    <w:rsid w:val="00926216"/>
    <w:rsid w:val="0092647E"/>
    <w:rsid w:val="00926AC4"/>
    <w:rsid w:val="00926D0D"/>
    <w:rsid w:val="00926ED0"/>
    <w:rsid w:val="00926FC5"/>
    <w:rsid w:val="0093044B"/>
    <w:rsid w:val="00930D94"/>
    <w:rsid w:val="009311CE"/>
    <w:rsid w:val="00931942"/>
    <w:rsid w:val="009321A8"/>
    <w:rsid w:val="0093487C"/>
    <w:rsid w:val="00934F59"/>
    <w:rsid w:val="00934FA0"/>
    <w:rsid w:val="00936186"/>
    <w:rsid w:val="009367A8"/>
    <w:rsid w:val="00936D94"/>
    <w:rsid w:val="00936F31"/>
    <w:rsid w:val="009371B0"/>
    <w:rsid w:val="0093767E"/>
    <w:rsid w:val="00937B07"/>
    <w:rsid w:val="00937B31"/>
    <w:rsid w:val="00940386"/>
    <w:rsid w:val="009403D6"/>
    <w:rsid w:val="009404F6"/>
    <w:rsid w:val="009411BC"/>
    <w:rsid w:val="009414DB"/>
    <w:rsid w:val="00941678"/>
    <w:rsid w:val="0094242A"/>
    <w:rsid w:val="00943148"/>
    <w:rsid w:val="009437D1"/>
    <w:rsid w:val="00945344"/>
    <w:rsid w:val="00945768"/>
    <w:rsid w:val="00945B54"/>
    <w:rsid w:val="00945F53"/>
    <w:rsid w:val="0094776D"/>
    <w:rsid w:val="009477CA"/>
    <w:rsid w:val="00947887"/>
    <w:rsid w:val="00947D66"/>
    <w:rsid w:val="00950094"/>
    <w:rsid w:val="009516AD"/>
    <w:rsid w:val="00951DAE"/>
    <w:rsid w:val="0095239A"/>
    <w:rsid w:val="0095270B"/>
    <w:rsid w:val="0095371D"/>
    <w:rsid w:val="00954D40"/>
    <w:rsid w:val="009550DC"/>
    <w:rsid w:val="009551F9"/>
    <w:rsid w:val="00955581"/>
    <w:rsid w:val="00955AD4"/>
    <w:rsid w:val="00955F74"/>
    <w:rsid w:val="009561DB"/>
    <w:rsid w:val="009569BE"/>
    <w:rsid w:val="009569EE"/>
    <w:rsid w:val="00957196"/>
    <w:rsid w:val="00957560"/>
    <w:rsid w:val="00957F28"/>
    <w:rsid w:val="00957FD7"/>
    <w:rsid w:val="009605EE"/>
    <w:rsid w:val="0096164C"/>
    <w:rsid w:val="009617E3"/>
    <w:rsid w:val="0096216A"/>
    <w:rsid w:val="00962170"/>
    <w:rsid w:val="0096316A"/>
    <w:rsid w:val="00963768"/>
    <w:rsid w:val="00963DA6"/>
    <w:rsid w:val="00963DAD"/>
    <w:rsid w:val="00964046"/>
    <w:rsid w:val="0096467A"/>
    <w:rsid w:val="00964A3C"/>
    <w:rsid w:val="00964DC6"/>
    <w:rsid w:val="00964E12"/>
    <w:rsid w:val="00965232"/>
    <w:rsid w:val="00965293"/>
    <w:rsid w:val="00965341"/>
    <w:rsid w:val="00965768"/>
    <w:rsid w:val="0096662B"/>
    <w:rsid w:val="00966B7E"/>
    <w:rsid w:val="00966C8D"/>
    <w:rsid w:val="0096715D"/>
    <w:rsid w:val="00967D82"/>
    <w:rsid w:val="00970B72"/>
    <w:rsid w:val="00970BF4"/>
    <w:rsid w:val="00970E5C"/>
    <w:rsid w:val="00971952"/>
    <w:rsid w:val="009723D0"/>
    <w:rsid w:val="00972688"/>
    <w:rsid w:val="009726BE"/>
    <w:rsid w:val="00972D30"/>
    <w:rsid w:val="00973C3A"/>
    <w:rsid w:val="00974046"/>
    <w:rsid w:val="0097410D"/>
    <w:rsid w:val="00975862"/>
    <w:rsid w:val="009758DE"/>
    <w:rsid w:val="00975B6A"/>
    <w:rsid w:val="00975D6F"/>
    <w:rsid w:val="009761A4"/>
    <w:rsid w:val="00976BDB"/>
    <w:rsid w:val="00976DB2"/>
    <w:rsid w:val="00977300"/>
    <w:rsid w:val="00980200"/>
    <w:rsid w:val="00980B29"/>
    <w:rsid w:val="0098151E"/>
    <w:rsid w:val="00981D76"/>
    <w:rsid w:val="00981D79"/>
    <w:rsid w:val="00981EF5"/>
    <w:rsid w:val="00981F56"/>
    <w:rsid w:val="00982D62"/>
    <w:rsid w:val="00982F91"/>
    <w:rsid w:val="00983269"/>
    <w:rsid w:val="00983DBB"/>
    <w:rsid w:val="009841A4"/>
    <w:rsid w:val="00986BF7"/>
    <w:rsid w:val="00987B60"/>
    <w:rsid w:val="00990226"/>
    <w:rsid w:val="0099040C"/>
    <w:rsid w:val="009914E4"/>
    <w:rsid w:val="00991792"/>
    <w:rsid w:val="009917AB"/>
    <w:rsid w:val="00991B6C"/>
    <w:rsid w:val="00992B44"/>
    <w:rsid w:val="00992D40"/>
    <w:rsid w:val="00993A76"/>
    <w:rsid w:val="00994030"/>
    <w:rsid w:val="00994186"/>
    <w:rsid w:val="0099469B"/>
    <w:rsid w:val="009946EF"/>
    <w:rsid w:val="00994FF8"/>
    <w:rsid w:val="00995156"/>
    <w:rsid w:val="00995E5E"/>
    <w:rsid w:val="00995E90"/>
    <w:rsid w:val="00995ECD"/>
    <w:rsid w:val="00996075"/>
    <w:rsid w:val="00997013"/>
    <w:rsid w:val="00997917"/>
    <w:rsid w:val="00997B0A"/>
    <w:rsid w:val="00997EBE"/>
    <w:rsid w:val="009A06BE"/>
    <w:rsid w:val="009A0B1C"/>
    <w:rsid w:val="009A0DEA"/>
    <w:rsid w:val="009A18CD"/>
    <w:rsid w:val="009A1F29"/>
    <w:rsid w:val="009A200E"/>
    <w:rsid w:val="009A20B2"/>
    <w:rsid w:val="009A4329"/>
    <w:rsid w:val="009A468D"/>
    <w:rsid w:val="009A4D67"/>
    <w:rsid w:val="009A5A54"/>
    <w:rsid w:val="009A5B4F"/>
    <w:rsid w:val="009A5F21"/>
    <w:rsid w:val="009A6F26"/>
    <w:rsid w:val="009A76D6"/>
    <w:rsid w:val="009A799A"/>
    <w:rsid w:val="009A79E7"/>
    <w:rsid w:val="009A7C7F"/>
    <w:rsid w:val="009B09C5"/>
    <w:rsid w:val="009B0A8D"/>
    <w:rsid w:val="009B16BE"/>
    <w:rsid w:val="009B179C"/>
    <w:rsid w:val="009B18DC"/>
    <w:rsid w:val="009B19A6"/>
    <w:rsid w:val="009B1FD5"/>
    <w:rsid w:val="009B2588"/>
    <w:rsid w:val="009B298E"/>
    <w:rsid w:val="009B3BC2"/>
    <w:rsid w:val="009B3E30"/>
    <w:rsid w:val="009B537F"/>
    <w:rsid w:val="009B55E2"/>
    <w:rsid w:val="009B5C02"/>
    <w:rsid w:val="009B6718"/>
    <w:rsid w:val="009B6844"/>
    <w:rsid w:val="009B6896"/>
    <w:rsid w:val="009C0441"/>
    <w:rsid w:val="009C0A91"/>
    <w:rsid w:val="009C0B5A"/>
    <w:rsid w:val="009C1092"/>
    <w:rsid w:val="009C13DB"/>
    <w:rsid w:val="009C1A55"/>
    <w:rsid w:val="009C2EFA"/>
    <w:rsid w:val="009C3E45"/>
    <w:rsid w:val="009C426F"/>
    <w:rsid w:val="009C457F"/>
    <w:rsid w:val="009C4904"/>
    <w:rsid w:val="009C4BB8"/>
    <w:rsid w:val="009C4C53"/>
    <w:rsid w:val="009C4D9A"/>
    <w:rsid w:val="009C4DCB"/>
    <w:rsid w:val="009C5050"/>
    <w:rsid w:val="009C56F2"/>
    <w:rsid w:val="009C5C6E"/>
    <w:rsid w:val="009C62A4"/>
    <w:rsid w:val="009C6546"/>
    <w:rsid w:val="009C65D6"/>
    <w:rsid w:val="009C7858"/>
    <w:rsid w:val="009C78BD"/>
    <w:rsid w:val="009C79BE"/>
    <w:rsid w:val="009C7E3B"/>
    <w:rsid w:val="009D07FE"/>
    <w:rsid w:val="009D0A47"/>
    <w:rsid w:val="009D0C70"/>
    <w:rsid w:val="009D2302"/>
    <w:rsid w:val="009D2D7F"/>
    <w:rsid w:val="009D31E0"/>
    <w:rsid w:val="009D5483"/>
    <w:rsid w:val="009D5555"/>
    <w:rsid w:val="009D612C"/>
    <w:rsid w:val="009D6CA6"/>
    <w:rsid w:val="009E0259"/>
    <w:rsid w:val="009E0347"/>
    <w:rsid w:val="009E057F"/>
    <w:rsid w:val="009E062A"/>
    <w:rsid w:val="009E0C81"/>
    <w:rsid w:val="009E1A69"/>
    <w:rsid w:val="009E1D6F"/>
    <w:rsid w:val="009E1DB0"/>
    <w:rsid w:val="009E2CE2"/>
    <w:rsid w:val="009E484E"/>
    <w:rsid w:val="009E4CA5"/>
    <w:rsid w:val="009E4CBE"/>
    <w:rsid w:val="009E4E5E"/>
    <w:rsid w:val="009E5538"/>
    <w:rsid w:val="009E579F"/>
    <w:rsid w:val="009E5D4D"/>
    <w:rsid w:val="009E5D7C"/>
    <w:rsid w:val="009E7733"/>
    <w:rsid w:val="009E78DE"/>
    <w:rsid w:val="009E7999"/>
    <w:rsid w:val="009E79F9"/>
    <w:rsid w:val="009E7D20"/>
    <w:rsid w:val="009E7D48"/>
    <w:rsid w:val="009E7E37"/>
    <w:rsid w:val="009F052D"/>
    <w:rsid w:val="009F0D42"/>
    <w:rsid w:val="009F1475"/>
    <w:rsid w:val="009F1BFE"/>
    <w:rsid w:val="009F1CB7"/>
    <w:rsid w:val="009F2916"/>
    <w:rsid w:val="009F4745"/>
    <w:rsid w:val="009F4F0A"/>
    <w:rsid w:val="009F54BC"/>
    <w:rsid w:val="009F585A"/>
    <w:rsid w:val="009F6759"/>
    <w:rsid w:val="009F6BCC"/>
    <w:rsid w:val="009F6C7F"/>
    <w:rsid w:val="00A000BB"/>
    <w:rsid w:val="00A00214"/>
    <w:rsid w:val="00A002D4"/>
    <w:rsid w:val="00A003A8"/>
    <w:rsid w:val="00A01C2E"/>
    <w:rsid w:val="00A0203D"/>
    <w:rsid w:val="00A022BF"/>
    <w:rsid w:val="00A023D1"/>
    <w:rsid w:val="00A02A1B"/>
    <w:rsid w:val="00A02ECD"/>
    <w:rsid w:val="00A02FD8"/>
    <w:rsid w:val="00A0370C"/>
    <w:rsid w:val="00A03A2A"/>
    <w:rsid w:val="00A04186"/>
    <w:rsid w:val="00A0510D"/>
    <w:rsid w:val="00A05583"/>
    <w:rsid w:val="00A05953"/>
    <w:rsid w:val="00A060B1"/>
    <w:rsid w:val="00A067E0"/>
    <w:rsid w:val="00A06C66"/>
    <w:rsid w:val="00A074CF"/>
    <w:rsid w:val="00A0768A"/>
    <w:rsid w:val="00A107A1"/>
    <w:rsid w:val="00A10F13"/>
    <w:rsid w:val="00A1105F"/>
    <w:rsid w:val="00A115E5"/>
    <w:rsid w:val="00A121E0"/>
    <w:rsid w:val="00A124D0"/>
    <w:rsid w:val="00A125B6"/>
    <w:rsid w:val="00A12D04"/>
    <w:rsid w:val="00A1370E"/>
    <w:rsid w:val="00A141EB"/>
    <w:rsid w:val="00A1436B"/>
    <w:rsid w:val="00A1444B"/>
    <w:rsid w:val="00A1555D"/>
    <w:rsid w:val="00A16192"/>
    <w:rsid w:val="00A166A8"/>
    <w:rsid w:val="00A16A45"/>
    <w:rsid w:val="00A16B43"/>
    <w:rsid w:val="00A17397"/>
    <w:rsid w:val="00A176DE"/>
    <w:rsid w:val="00A17CC8"/>
    <w:rsid w:val="00A20D90"/>
    <w:rsid w:val="00A216B5"/>
    <w:rsid w:val="00A22391"/>
    <w:rsid w:val="00A22C7A"/>
    <w:rsid w:val="00A23074"/>
    <w:rsid w:val="00A237BA"/>
    <w:rsid w:val="00A2388B"/>
    <w:rsid w:val="00A24194"/>
    <w:rsid w:val="00A249C9"/>
    <w:rsid w:val="00A252DA"/>
    <w:rsid w:val="00A254DD"/>
    <w:rsid w:val="00A2661C"/>
    <w:rsid w:val="00A269C8"/>
    <w:rsid w:val="00A26B16"/>
    <w:rsid w:val="00A2712B"/>
    <w:rsid w:val="00A27605"/>
    <w:rsid w:val="00A27D35"/>
    <w:rsid w:val="00A30652"/>
    <w:rsid w:val="00A3069F"/>
    <w:rsid w:val="00A30991"/>
    <w:rsid w:val="00A30ABB"/>
    <w:rsid w:val="00A323D3"/>
    <w:rsid w:val="00A32E99"/>
    <w:rsid w:val="00A33956"/>
    <w:rsid w:val="00A34FAC"/>
    <w:rsid w:val="00A350EB"/>
    <w:rsid w:val="00A3514D"/>
    <w:rsid w:val="00A364FB"/>
    <w:rsid w:val="00A366AF"/>
    <w:rsid w:val="00A36758"/>
    <w:rsid w:val="00A36CEA"/>
    <w:rsid w:val="00A37251"/>
    <w:rsid w:val="00A375B4"/>
    <w:rsid w:val="00A40546"/>
    <w:rsid w:val="00A40B40"/>
    <w:rsid w:val="00A41B1B"/>
    <w:rsid w:val="00A41C31"/>
    <w:rsid w:val="00A41C51"/>
    <w:rsid w:val="00A42162"/>
    <w:rsid w:val="00A424BD"/>
    <w:rsid w:val="00A42C6B"/>
    <w:rsid w:val="00A42FBF"/>
    <w:rsid w:val="00A439A9"/>
    <w:rsid w:val="00A43CF5"/>
    <w:rsid w:val="00A455A7"/>
    <w:rsid w:val="00A459DB"/>
    <w:rsid w:val="00A45F1D"/>
    <w:rsid w:val="00A472AD"/>
    <w:rsid w:val="00A47384"/>
    <w:rsid w:val="00A47CA0"/>
    <w:rsid w:val="00A5052D"/>
    <w:rsid w:val="00A50F81"/>
    <w:rsid w:val="00A5115F"/>
    <w:rsid w:val="00A51FB7"/>
    <w:rsid w:val="00A521C1"/>
    <w:rsid w:val="00A528B5"/>
    <w:rsid w:val="00A5304E"/>
    <w:rsid w:val="00A53668"/>
    <w:rsid w:val="00A53BB2"/>
    <w:rsid w:val="00A53D23"/>
    <w:rsid w:val="00A53D25"/>
    <w:rsid w:val="00A54957"/>
    <w:rsid w:val="00A54FD5"/>
    <w:rsid w:val="00A55A3C"/>
    <w:rsid w:val="00A55A89"/>
    <w:rsid w:val="00A55B5D"/>
    <w:rsid w:val="00A55C2A"/>
    <w:rsid w:val="00A55C5D"/>
    <w:rsid w:val="00A56255"/>
    <w:rsid w:val="00A56614"/>
    <w:rsid w:val="00A579FF"/>
    <w:rsid w:val="00A57BB5"/>
    <w:rsid w:val="00A604B0"/>
    <w:rsid w:val="00A607B1"/>
    <w:rsid w:val="00A60976"/>
    <w:rsid w:val="00A60C76"/>
    <w:rsid w:val="00A619F0"/>
    <w:rsid w:val="00A61D9E"/>
    <w:rsid w:val="00A625AD"/>
    <w:rsid w:val="00A625BC"/>
    <w:rsid w:val="00A62F24"/>
    <w:rsid w:val="00A63258"/>
    <w:rsid w:val="00A63FD2"/>
    <w:rsid w:val="00A647E9"/>
    <w:rsid w:val="00A64865"/>
    <w:rsid w:val="00A6519A"/>
    <w:rsid w:val="00A651B6"/>
    <w:rsid w:val="00A659C8"/>
    <w:rsid w:val="00A65A03"/>
    <w:rsid w:val="00A66135"/>
    <w:rsid w:val="00A666A2"/>
    <w:rsid w:val="00A6702C"/>
    <w:rsid w:val="00A677F3"/>
    <w:rsid w:val="00A67A8B"/>
    <w:rsid w:val="00A67C49"/>
    <w:rsid w:val="00A7113E"/>
    <w:rsid w:val="00A714E6"/>
    <w:rsid w:val="00A71977"/>
    <w:rsid w:val="00A71E23"/>
    <w:rsid w:val="00A736FF"/>
    <w:rsid w:val="00A74F77"/>
    <w:rsid w:val="00A75614"/>
    <w:rsid w:val="00A75655"/>
    <w:rsid w:val="00A75916"/>
    <w:rsid w:val="00A75CAB"/>
    <w:rsid w:val="00A75EB2"/>
    <w:rsid w:val="00A76730"/>
    <w:rsid w:val="00A76D2D"/>
    <w:rsid w:val="00A76DC2"/>
    <w:rsid w:val="00A76FDC"/>
    <w:rsid w:val="00A7711C"/>
    <w:rsid w:val="00A77248"/>
    <w:rsid w:val="00A773B5"/>
    <w:rsid w:val="00A774E3"/>
    <w:rsid w:val="00A77802"/>
    <w:rsid w:val="00A77AD9"/>
    <w:rsid w:val="00A77E8F"/>
    <w:rsid w:val="00A800DF"/>
    <w:rsid w:val="00A800EF"/>
    <w:rsid w:val="00A808A4"/>
    <w:rsid w:val="00A835D3"/>
    <w:rsid w:val="00A83692"/>
    <w:rsid w:val="00A837CF"/>
    <w:rsid w:val="00A83846"/>
    <w:rsid w:val="00A83AB1"/>
    <w:rsid w:val="00A845C6"/>
    <w:rsid w:val="00A8491B"/>
    <w:rsid w:val="00A84B6A"/>
    <w:rsid w:val="00A84D71"/>
    <w:rsid w:val="00A86604"/>
    <w:rsid w:val="00A86E5D"/>
    <w:rsid w:val="00A86EA2"/>
    <w:rsid w:val="00A87073"/>
    <w:rsid w:val="00A87409"/>
    <w:rsid w:val="00A8756C"/>
    <w:rsid w:val="00A875DE"/>
    <w:rsid w:val="00A87D00"/>
    <w:rsid w:val="00A906C2"/>
    <w:rsid w:val="00A9079F"/>
    <w:rsid w:val="00A9081A"/>
    <w:rsid w:val="00A90A8A"/>
    <w:rsid w:val="00A90F81"/>
    <w:rsid w:val="00A9110E"/>
    <w:rsid w:val="00A91D72"/>
    <w:rsid w:val="00A92965"/>
    <w:rsid w:val="00A92CA0"/>
    <w:rsid w:val="00A93953"/>
    <w:rsid w:val="00A9568C"/>
    <w:rsid w:val="00A95A0B"/>
    <w:rsid w:val="00A95B30"/>
    <w:rsid w:val="00A95E14"/>
    <w:rsid w:val="00A95FC4"/>
    <w:rsid w:val="00A963E4"/>
    <w:rsid w:val="00A96E14"/>
    <w:rsid w:val="00A96FF3"/>
    <w:rsid w:val="00A97F3D"/>
    <w:rsid w:val="00A97F8B"/>
    <w:rsid w:val="00AA0109"/>
    <w:rsid w:val="00AA054C"/>
    <w:rsid w:val="00AA1106"/>
    <w:rsid w:val="00AA1626"/>
    <w:rsid w:val="00AA1924"/>
    <w:rsid w:val="00AA1928"/>
    <w:rsid w:val="00AA1B3E"/>
    <w:rsid w:val="00AA23A3"/>
    <w:rsid w:val="00AA3130"/>
    <w:rsid w:val="00AA34D0"/>
    <w:rsid w:val="00AA3A4C"/>
    <w:rsid w:val="00AA3B99"/>
    <w:rsid w:val="00AA470F"/>
    <w:rsid w:val="00AA4BD1"/>
    <w:rsid w:val="00AA59C0"/>
    <w:rsid w:val="00AA5A3F"/>
    <w:rsid w:val="00AA5F33"/>
    <w:rsid w:val="00AA6133"/>
    <w:rsid w:val="00AA61BF"/>
    <w:rsid w:val="00AA64B2"/>
    <w:rsid w:val="00AA6B61"/>
    <w:rsid w:val="00AA74EC"/>
    <w:rsid w:val="00AA7834"/>
    <w:rsid w:val="00AA788C"/>
    <w:rsid w:val="00AB0F54"/>
    <w:rsid w:val="00AB1B9D"/>
    <w:rsid w:val="00AB2F9E"/>
    <w:rsid w:val="00AB395B"/>
    <w:rsid w:val="00AB3A3F"/>
    <w:rsid w:val="00AB3F07"/>
    <w:rsid w:val="00AB43C5"/>
    <w:rsid w:val="00AB46DE"/>
    <w:rsid w:val="00AB4792"/>
    <w:rsid w:val="00AB4D48"/>
    <w:rsid w:val="00AB4EA9"/>
    <w:rsid w:val="00AB5638"/>
    <w:rsid w:val="00AB5786"/>
    <w:rsid w:val="00AB57D0"/>
    <w:rsid w:val="00AB6AFC"/>
    <w:rsid w:val="00AB6EC0"/>
    <w:rsid w:val="00AC02E8"/>
    <w:rsid w:val="00AC03AC"/>
    <w:rsid w:val="00AC0426"/>
    <w:rsid w:val="00AC04D1"/>
    <w:rsid w:val="00AC0D6F"/>
    <w:rsid w:val="00AC12BF"/>
    <w:rsid w:val="00AC163F"/>
    <w:rsid w:val="00AC19B7"/>
    <w:rsid w:val="00AC1C63"/>
    <w:rsid w:val="00AC2362"/>
    <w:rsid w:val="00AC2A46"/>
    <w:rsid w:val="00AC3486"/>
    <w:rsid w:val="00AC3D2C"/>
    <w:rsid w:val="00AC430B"/>
    <w:rsid w:val="00AC454C"/>
    <w:rsid w:val="00AC4823"/>
    <w:rsid w:val="00AC5547"/>
    <w:rsid w:val="00AC5745"/>
    <w:rsid w:val="00AC5C62"/>
    <w:rsid w:val="00AC64C7"/>
    <w:rsid w:val="00AC6BF6"/>
    <w:rsid w:val="00AC7046"/>
    <w:rsid w:val="00AC7675"/>
    <w:rsid w:val="00AC77FB"/>
    <w:rsid w:val="00AC79CA"/>
    <w:rsid w:val="00AC7F78"/>
    <w:rsid w:val="00AD09D5"/>
    <w:rsid w:val="00AD09FB"/>
    <w:rsid w:val="00AD0D65"/>
    <w:rsid w:val="00AD1269"/>
    <w:rsid w:val="00AD1366"/>
    <w:rsid w:val="00AD22F3"/>
    <w:rsid w:val="00AD2A4D"/>
    <w:rsid w:val="00AD47A4"/>
    <w:rsid w:val="00AD4E6B"/>
    <w:rsid w:val="00AD4E98"/>
    <w:rsid w:val="00AD545E"/>
    <w:rsid w:val="00AD5657"/>
    <w:rsid w:val="00AD5BF9"/>
    <w:rsid w:val="00AD5DF8"/>
    <w:rsid w:val="00AD5EDA"/>
    <w:rsid w:val="00AD7536"/>
    <w:rsid w:val="00AD7FEA"/>
    <w:rsid w:val="00AE0A09"/>
    <w:rsid w:val="00AE1692"/>
    <w:rsid w:val="00AE19F0"/>
    <w:rsid w:val="00AE3AAB"/>
    <w:rsid w:val="00AE3BA9"/>
    <w:rsid w:val="00AE3C64"/>
    <w:rsid w:val="00AE4BC2"/>
    <w:rsid w:val="00AE532F"/>
    <w:rsid w:val="00AE5394"/>
    <w:rsid w:val="00AE557D"/>
    <w:rsid w:val="00AE55B7"/>
    <w:rsid w:val="00AE5A41"/>
    <w:rsid w:val="00AE601D"/>
    <w:rsid w:val="00AE60F7"/>
    <w:rsid w:val="00AE6BB4"/>
    <w:rsid w:val="00AE758A"/>
    <w:rsid w:val="00AE7937"/>
    <w:rsid w:val="00AE7B5C"/>
    <w:rsid w:val="00AF11F7"/>
    <w:rsid w:val="00AF1DA5"/>
    <w:rsid w:val="00AF1E22"/>
    <w:rsid w:val="00AF2D07"/>
    <w:rsid w:val="00AF3171"/>
    <w:rsid w:val="00AF3AD0"/>
    <w:rsid w:val="00AF4366"/>
    <w:rsid w:val="00AF43FA"/>
    <w:rsid w:val="00AF4DDB"/>
    <w:rsid w:val="00AF55C7"/>
    <w:rsid w:val="00AF5CF3"/>
    <w:rsid w:val="00AF6A5B"/>
    <w:rsid w:val="00AF725C"/>
    <w:rsid w:val="00AF7550"/>
    <w:rsid w:val="00AF7E1A"/>
    <w:rsid w:val="00AF7F5F"/>
    <w:rsid w:val="00B019A1"/>
    <w:rsid w:val="00B01F70"/>
    <w:rsid w:val="00B02230"/>
    <w:rsid w:val="00B023FD"/>
    <w:rsid w:val="00B02F4C"/>
    <w:rsid w:val="00B03066"/>
    <w:rsid w:val="00B03C69"/>
    <w:rsid w:val="00B03FA5"/>
    <w:rsid w:val="00B04019"/>
    <w:rsid w:val="00B047D7"/>
    <w:rsid w:val="00B04E1A"/>
    <w:rsid w:val="00B057B4"/>
    <w:rsid w:val="00B05E25"/>
    <w:rsid w:val="00B05FBD"/>
    <w:rsid w:val="00B060B1"/>
    <w:rsid w:val="00B063B4"/>
    <w:rsid w:val="00B068D7"/>
    <w:rsid w:val="00B06EC0"/>
    <w:rsid w:val="00B0713C"/>
    <w:rsid w:val="00B0767E"/>
    <w:rsid w:val="00B076F0"/>
    <w:rsid w:val="00B110CA"/>
    <w:rsid w:val="00B11212"/>
    <w:rsid w:val="00B11BBF"/>
    <w:rsid w:val="00B11D2D"/>
    <w:rsid w:val="00B12286"/>
    <w:rsid w:val="00B12307"/>
    <w:rsid w:val="00B1250E"/>
    <w:rsid w:val="00B12F69"/>
    <w:rsid w:val="00B12F7F"/>
    <w:rsid w:val="00B12FB1"/>
    <w:rsid w:val="00B13234"/>
    <w:rsid w:val="00B13A5A"/>
    <w:rsid w:val="00B1437B"/>
    <w:rsid w:val="00B14826"/>
    <w:rsid w:val="00B14DA0"/>
    <w:rsid w:val="00B152DA"/>
    <w:rsid w:val="00B16204"/>
    <w:rsid w:val="00B1664F"/>
    <w:rsid w:val="00B16666"/>
    <w:rsid w:val="00B17011"/>
    <w:rsid w:val="00B173A5"/>
    <w:rsid w:val="00B17C3C"/>
    <w:rsid w:val="00B205ED"/>
    <w:rsid w:val="00B208D1"/>
    <w:rsid w:val="00B20F4A"/>
    <w:rsid w:val="00B21279"/>
    <w:rsid w:val="00B21524"/>
    <w:rsid w:val="00B217D7"/>
    <w:rsid w:val="00B2258B"/>
    <w:rsid w:val="00B2260E"/>
    <w:rsid w:val="00B229D9"/>
    <w:rsid w:val="00B22C36"/>
    <w:rsid w:val="00B23AEE"/>
    <w:rsid w:val="00B23CF4"/>
    <w:rsid w:val="00B24372"/>
    <w:rsid w:val="00B2480B"/>
    <w:rsid w:val="00B24BC2"/>
    <w:rsid w:val="00B24CC0"/>
    <w:rsid w:val="00B24FB6"/>
    <w:rsid w:val="00B259F5"/>
    <w:rsid w:val="00B26206"/>
    <w:rsid w:val="00B262AA"/>
    <w:rsid w:val="00B263E1"/>
    <w:rsid w:val="00B26BA1"/>
    <w:rsid w:val="00B27E55"/>
    <w:rsid w:val="00B30561"/>
    <w:rsid w:val="00B3067D"/>
    <w:rsid w:val="00B30A6F"/>
    <w:rsid w:val="00B30C68"/>
    <w:rsid w:val="00B31C38"/>
    <w:rsid w:val="00B32380"/>
    <w:rsid w:val="00B32448"/>
    <w:rsid w:val="00B3292E"/>
    <w:rsid w:val="00B32EB0"/>
    <w:rsid w:val="00B331A6"/>
    <w:rsid w:val="00B335D7"/>
    <w:rsid w:val="00B33C08"/>
    <w:rsid w:val="00B34EEA"/>
    <w:rsid w:val="00B35073"/>
    <w:rsid w:val="00B35520"/>
    <w:rsid w:val="00B35BC2"/>
    <w:rsid w:val="00B361B3"/>
    <w:rsid w:val="00B36669"/>
    <w:rsid w:val="00B3743E"/>
    <w:rsid w:val="00B37F85"/>
    <w:rsid w:val="00B400D2"/>
    <w:rsid w:val="00B400E8"/>
    <w:rsid w:val="00B40255"/>
    <w:rsid w:val="00B4066D"/>
    <w:rsid w:val="00B4184A"/>
    <w:rsid w:val="00B41B89"/>
    <w:rsid w:val="00B41F3E"/>
    <w:rsid w:val="00B431F3"/>
    <w:rsid w:val="00B43CD0"/>
    <w:rsid w:val="00B445BC"/>
    <w:rsid w:val="00B45C3C"/>
    <w:rsid w:val="00B45FA1"/>
    <w:rsid w:val="00B4610E"/>
    <w:rsid w:val="00B461D8"/>
    <w:rsid w:val="00B4718A"/>
    <w:rsid w:val="00B47431"/>
    <w:rsid w:val="00B47727"/>
    <w:rsid w:val="00B47968"/>
    <w:rsid w:val="00B502D8"/>
    <w:rsid w:val="00B50605"/>
    <w:rsid w:val="00B5078B"/>
    <w:rsid w:val="00B50D6D"/>
    <w:rsid w:val="00B514CE"/>
    <w:rsid w:val="00B5229B"/>
    <w:rsid w:val="00B527CA"/>
    <w:rsid w:val="00B52A57"/>
    <w:rsid w:val="00B52DAF"/>
    <w:rsid w:val="00B52DE0"/>
    <w:rsid w:val="00B5338A"/>
    <w:rsid w:val="00B539DB"/>
    <w:rsid w:val="00B54073"/>
    <w:rsid w:val="00B5425E"/>
    <w:rsid w:val="00B545E6"/>
    <w:rsid w:val="00B5471E"/>
    <w:rsid w:val="00B549EA"/>
    <w:rsid w:val="00B54C09"/>
    <w:rsid w:val="00B553E3"/>
    <w:rsid w:val="00B55AC3"/>
    <w:rsid w:val="00B55C1A"/>
    <w:rsid w:val="00B56DD7"/>
    <w:rsid w:val="00B57298"/>
    <w:rsid w:val="00B576F7"/>
    <w:rsid w:val="00B57702"/>
    <w:rsid w:val="00B577E3"/>
    <w:rsid w:val="00B602D9"/>
    <w:rsid w:val="00B60EDE"/>
    <w:rsid w:val="00B611C2"/>
    <w:rsid w:val="00B6207B"/>
    <w:rsid w:val="00B62445"/>
    <w:rsid w:val="00B62807"/>
    <w:rsid w:val="00B63F20"/>
    <w:rsid w:val="00B643D2"/>
    <w:rsid w:val="00B6470F"/>
    <w:rsid w:val="00B64B0D"/>
    <w:rsid w:val="00B650B1"/>
    <w:rsid w:val="00B66273"/>
    <w:rsid w:val="00B663CC"/>
    <w:rsid w:val="00B66BE1"/>
    <w:rsid w:val="00B67189"/>
    <w:rsid w:val="00B70BF4"/>
    <w:rsid w:val="00B717C0"/>
    <w:rsid w:val="00B71E65"/>
    <w:rsid w:val="00B71E90"/>
    <w:rsid w:val="00B7252B"/>
    <w:rsid w:val="00B733ED"/>
    <w:rsid w:val="00B735E8"/>
    <w:rsid w:val="00B73CFD"/>
    <w:rsid w:val="00B73EF4"/>
    <w:rsid w:val="00B74EFF"/>
    <w:rsid w:val="00B76549"/>
    <w:rsid w:val="00B766CB"/>
    <w:rsid w:val="00B76BCE"/>
    <w:rsid w:val="00B76F8A"/>
    <w:rsid w:val="00B77B0C"/>
    <w:rsid w:val="00B77C0D"/>
    <w:rsid w:val="00B77C4D"/>
    <w:rsid w:val="00B8118E"/>
    <w:rsid w:val="00B81551"/>
    <w:rsid w:val="00B81C7F"/>
    <w:rsid w:val="00B81E79"/>
    <w:rsid w:val="00B81F8D"/>
    <w:rsid w:val="00B82080"/>
    <w:rsid w:val="00B827AE"/>
    <w:rsid w:val="00B82B09"/>
    <w:rsid w:val="00B82DCB"/>
    <w:rsid w:val="00B836A6"/>
    <w:rsid w:val="00B840D5"/>
    <w:rsid w:val="00B8430A"/>
    <w:rsid w:val="00B84988"/>
    <w:rsid w:val="00B84A2E"/>
    <w:rsid w:val="00B84C8D"/>
    <w:rsid w:val="00B84EE9"/>
    <w:rsid w:val="00B85274"/>
    <w:rsid w:val="00B857C7"/>
    <w:rsid w:val="00B86056"/>
    <w:rsid w:val="00B87BB5"/>
    <w:rsid w:val="00B903FE"/>
    <w:rsid w:val="00B908BA"/>
    <w:rsid w:val="00B90BC9"/>
    <w:rsid w:val="00B90D1B"/>
    <w:rsid w:val="00B91765"/>
    <w:rsid w:val="00B917BE"/>
    <w:rsid w:val="00B91BD5"/>
    <w:rsid w:val="00B91DFC"/>
    <w:rsid w:val="00B923CF"/>
    <w:rsid w:val="00B924C0"/>
    <w:rsid w:val="00B940BD"/>
    <w:rsid w:val="00B9420D"/>
    <w:rsid w:val="00B94A1E"/>
    <w:rsid w:val="00B95EC5"/>
    <w:rsid w:val="00B95ED9"/>
    <w:rsid w:val="00B96291"/>
    <w:rsid w:val="00B96DD5"/>
    <w:rsid w:val="00B972F1"/>
    <w:rsid w:val="00B974B6"/>
    <w:rsid w:val="00B977EE"/>
    <w:rsid w:val="00B979B3"/>
    <w:rsid w:val="00B97D53"/>
    <w:rsid w:val="00BA126D"/>
    <w:rsid w:val="00BA174F"/>
    <w:rsid w:val="00BA23C7"/>
    <w:rsid w:val="00BA26A4"/>
    <w:rsid w:val="00BA322E"/>
    <w:rsid w:val="00BA3B8C"/>
    <w:rsid w:val="00BA3E49"/>
    <w:rsid w:val="00BA4A58"/>
    <w:rsid w:val="00BA4C96"/>
    <w:rsid w:val="00BA51DA"/>
    <w:rsid w:val="00BA6703"/>
    <w:rsid w:val="00BA672A"/>
    <w:rsid w:val="00BA6823"/>
    <w:rsid w:val="00BA6848"/>
    <w:rsid w:val="00BA6BD9"/>
    <w:rsid w:val="00BA7919"/>
    <w:rsid w:val="00BA7FCD"/>
    <w:rsid w:val="00BB0151"/>
    <w:rsid w:val="00BB1E82"/>
    <w:rsid w:val="00BB1F2E"/>
    <w:rsid w:val="00BB2BB6"/>
    <w:rsid w:val="00BB2C0D"/>
    <w:rsid w:val="00BB2E28"/>
    <w:rsid w:val="00BB3458"/>
    <w:rsid w:val="00BB38E0"/>
    <w:rsid w:val="00BB3D68"/>
    <w:rsid w:val="00BB4C9F"/>
    <w:rsid w:val="00BB55C9"/>
    <w:rsid w:val="00BB564C"/>
    <w:rsid w:val="00BB57FB"/>
    <w:rsid w:val="00BB68E9"/>
    <w:rsid w:val="00BB7B10"/>
    <w:rsid w:val="00BB7C53"/>
    <w:rsid w:val="00BB7FDF"/>
    <w:rsid w:val="00BC0F8D"/>
    <w:rsid w:val="00BC216E"/>
    <w:rsid w:val="00BC3A58"/>
    <w:rsid w:val="00BC3B0B"/>
    <w:rsid w:val="00BC3D69"/>
    <w:rsid w:val="00BC3F2B"/>
    <w:rsid w:val="00BC4B10"/>
    <w:rsid w:val="00BC5418"/>
    <w:rsid w:val="00BC5848"/>
    <w:rsid w:val="00BC61A6"/>
    <w:rsid w:val="00BC6D76"/>
    <w:rsid w:val="00BC7334"/>
    <w:rsid w:val="00BC740D"/>
    <w:rsid w:val="00BC74E2"/>
    <w:rsid w:val="00BD036D"/>
    <w:rsid w:val="00BD06A9"/>
    <w:rsid w:val="00BD110A"/>
    <w:rsid w:val="00BD1276"/>
    <w:rsid w:val="00BD12C2"/>
    <w:rsid w:val="00BD13F0"/>
    <w:rsid w:val="00BD1444"/>
    <w:rsid w:val="00BD1956"/>
    <w:rsid w:val="00BD1E87"/>
    <w:rsid w:val="00BD216A"/>
    <w:rsid w:val="00BD2580"/>
    <w:rsid w:val="00BD2DF8"/>
    <w:rsid w:val="00BD35EC"/>
    <w:rsid w:val="00BD36C6"/>
    <w:rsid w:val="00BD426D"/>
    <w:rsid w:val="00BD46D1"/>
    <w:rsid w:val="00BD490B"/>
    <w:rsid w:val="00BD4B3D"/>
    <w:rsid w:val="00BD5DDD"/>
    <w:rsid w:val="00BD6048"/>
    <w:rsid w:val="00BD6184"/>
    <w:rsid w:val="00BD67DB"/>
    <w:rsid w:val="00BD6BD5"/>
    <w:rsid w:val="00BD7368"/>
    <w:rsid w:val="00BD770A"/>
    <w:rsid w:val="00BD7B8E"/>
    <w:rsid w:val="00BE0633"/>
    <w:rsid w:val="00BE08F9"/>
    <w:rsid w:val="00BE0AD6"/>
    <w:rsid w:val="00BE0F87"/>
    <w:rsid w:val="00BE14E7"/>
    <w:rsid w:val="00BE16A5"/>
    <w:rsid w:val="00BE1799"/>
    <w:rsid w:val="00BE1F37"/>
    <w:rsid w:val="00BE20E7"/>
    <w:rsid w:val="00BE23CA"/>
    <w:rsid w:val="00BE314C"/>
    <w:rsid w:val="00BE3A8B"/>
    <w:rsid w:val="00BE4F86"/>
    <w:rsid w:val="00BE587C"/>
    <w:rsid w:val="00BE59DD"/>
    <w:rsid w:val="00BE6394"/>
    <w:rsid w:val="00BE6890"/>
    <w:rsid w:val="00BE68AF"/>
    <w:rsid w:val="00BE7560"/>
    <w:rsid w:val="00BE77F1"/>
    <w:rsid w:val="00BE7C0D"/>
    <w:rsid w:val="00BF0232"/>
    <w:rsid w:val="00BF03A6"/>
    <w:rsid w:val="00BF0A10"/>
    <w:rsid w:val="00BF0AFF"/>
    <w:rsid w:val="00BF19B6"/>
    <w:rsid w:val="00BF1B89"/>
    <w:rsid w:val="00BF2050"/>
    <w:rsid w:val="00BF213E"/>
    <w:rsid w:val="00BF251D"/>
    <w:rsid w:val="00BF3123"/>
    <w:rsid w:val="00BF32B2"/>
    <w:rsid w:val="00BF3335"/>
    <w:rsid w:val="00BF33FD"/>
    <w:rsid w:val="00BF3611"/>
    <w:rsid w:val="00BF388B"/>
    <w:rsid w:val="00BF3DAD"/>
    <w:rsid w:val="00BF47E7"/>
    <w:rsid w:val="00BF4F11"/>
    <w:rsid w:val="00BF5A5B"/>
    <w:rsid w:val="00BF63D0"/>
    <w:rsid w:val="00BF661B"/>
    <w:rsid w:val="00BF68CF"/>
    <w:rsid w:val="00BF6F4C"/>
    <w:rsid w:val="00BF7104"/>
    <w:rsid w:val="00BF7CFA"/>
    <w:rsid w:val="00C000FC"/>
    <w:rsid w:val="00C00597"/>
    <w:rsid w:val="00C01C56"/>
    <w:rsid w:val="00C01D9A"/>
    <w:rsid w:val="00C0236B"/>
    <w:rsid w:val="00C02D5D"/>
    <w:rsid w:val="00C02FEB"/>
    <w:rsid w:val="00C031EA"/>
    <w:rsid w:val="00C0353A"/>
    <w:rsid w:val="00C0407B"/>
    <w:rsid w:val="00C04483"/>
    <w:rsid w:val="00C04975"/>
    <w:rsid w:val="00C0527F"/>
    <w:rsid w:val="00C05454"/>
    <w:rsid w:val="00C05956"/>
    <w:rsid w:val="00C06326"/>
    <w:rsid w:val="00C06CD1"/>
    <w:rsid w:val="00C06D12"/>
    <w:rsid w:val="00C06E9F"/>
    <w:rsid w:val="00C07737"/>
    <w:rsid w:val="00C07AAF"/>
    <w:rsid w:val="00C1256C"/>
    <w:rsid w:val="00C13149"/>
    <w:rsid w:val="00C137D0"/>
    <w:rsid w:val="00C139E0"/>
    <w:rsid w:val="00C13C01"/>
    <w:rsid w:val="00C142B2"/>
    <w:rsid w:val="00C14ADD"/>
    <w:rsid w:val="00C1560F"/>
    <w:rsid w:val="00C1578B"/>
    <w:rsid w:val="00C15FBD"/>
    <w:rsid w:val="00C16ED3"/>
    <w:rsid w:val="00C170B0"/>
    <w:rsid w:val="00C173E9"/>
    <w:rsid w:val="00C176E2"/>
    <w:rsid w:val="00C17B45"/>
    <w:rsid w:val="00C17B89"/>
    <w:rsid w:val="00C2005B"/>
    <w:rsid w:val="00C20122"/>
    <w:rsid w:val="00C201DF"/>
    <w:rsid w:val="00C206FD"/>
    <w:rsid w:val="00C209BF"/>
    <w:rsid w:val="00C215DC"/>
    <w:rsid w:val="00C2181D"/>
    <w:rsid w:val="00C21D6E"/>
    <w:rsid w:val="00C22107"/>
    <w:rsid w:val="00C221FE"/>
    <w:rsid w:val="00C23196"/>
    <w:rsid w:val="00C234C7"/>
    <w:rsid w:val="00C240DA"/>
    <w:rsid w:val="00C2445E"/>
    <w:rsid w:val="00C24D6A"/>
    <w:rsid w:val="00C24DDF"/>
    <w:rsid w:val="00C25003"/>
    <w:rsid w:val="00C25381"/>
    <w:rsid w:val="00C25B7B"/>
    <w:rsid w:val="00C26188"/>
    <w:rsid w:val="00C268FB"/>
    <w:rsid w:val="00C27123"/>
    <w:rsid w:val="00C2727C"/>
    <w:rsid w:val="00C31562"/>
    <w:rsid w:val="00C320E1"/>
    <w:rsid w:val="00C32282"/>
    <w:rsid w:val="00C3236E"/>
    <w:rsid w:val="00C3315A"/>
    <w:rsid w:val="00C3333C"/>
    <w:rsid w:val="00C33540"/>
    <w:rsid w:val="00C33556"/>
    <w:rsid w:val="00C3384C"/>
    <w:rsid w:val="00C3386D"/>
    <w:rsid w:val="00C339C0"/>
    <w:rsid w:val="00C33B3F"/>
    <w:rsid w:val="00C346FB"/>
    <w:rsid w:val="00C34874"/>
    <w:rsid w:val="00C35373"/>
    <w:rsid w:val="00C369BF"/>
    <w:rsid w:val="00C37F72"/>
    <w:rsid w:val="00C40CA0"/>
    <w:rsid w:val="00C40E8D"/>
    <w:rsid w:val="00C412D9"/>
    <w:rsid w:val="00C41C1F"/>
    <w:rsid w:val="00C425DF"/>
    <w:rsid w:val="00C42C19"/>
    <w:rsid w:val="00C42DF6"/>
    <w:rsid w:val="00C43846"/>
    <w:rsid w:val="00C440EB"/>
    <w:rsid w:val="00C4480C"/>
    <w:rsid w:val="00C44BED"/>
    <w:rsid w:val="00C4527D"/>
    <w:rsid w:val="00C45303"/>
    <w:rsid w:val="00C45636"/>
    <w:rsid w:val="00C463D6"/>
    <w:rsid w:val="00C46744"/>
    <w:rsid w:val="00C469FC"/>
    <w:rsid w:val="00C46B0B"/>
    <w:rsid w:val="00C4706F"/>
    <w:rsid w:val="00C470C7"/>
    <w:rsid w:val="00C474AE"/>
    <w:rsid w:val="00C4760F"/>
    <w:rsid w:val="00C47DD4"/>
    <w:rsid w:val="00C502E1"/>
    <w:rsid w:val="00C50D1C"/>
    <w:rsid w:val="00C51D91"/>
    <w:rsid w:val="00C51ED1"/>
    <w:rsid w:val="00C529EA"/>
    <w:rsid w:val="00C52F33"/>
    <w:rsid w:val="00C53550"/>
    <w:rsid w:val="00C5359B"/>
    <w:rsid w:val="00C536EA"/>
    <w:rsid w:val="00C53BA1"/>
    <w:rsid w:val="00C545DA"/>
    <w:rsid w:val="00C5525B"/>
    <w:rsid w:val="00C5592A"/>
    <w:rsid w:val="00C55F90"/>
    <w:rsid w:val="00C56137"/>
    <w:rsid w:val="00C5615B"/>
    <w:rsid w:val="00C563C1"/>
    <w:rsid w:val="00C56C07"/>
    <w:rsid w:val="00C57073"/>
    <w:rsid w:val="00C618F9"/>
    <w:rsid w:val="00C61BAA"/>
    <w:rsid w:val="00C6230B"/>
    <w:rsid w:val="00C6300D"/>
    <w:rsid w:val="00C6368A"/>
    <w:rsid w:val="00C63AD6"/>
    <w:rsid w:val="00C64370"/>
    <w:rsid w:val="00C646EB"/>
    <w:rsid w:val="00C64B0F"/>
    <w:rsid w:val="00C6505D"/>
    <w:rsid w:val="00C65C02"/>
    <w:rsid w:val="00C65D05"/>
    <w:rsid w:val="00C661D7"/>
    <w:rsid w:val="00C662F0"/>
    <w:rsid w:val="00C663F0"/>
    <w:rsid w:val="00C66B59"/>
    <w:rsid w:val="00C675C6"/>
    <w:rsid w:val="00C67D27"/>
    <w:rsid w:val="00C67FB0"/>
    <w:rsid w:val="00C70B4E"/>
    <w:rsid w:val="00C70D22"/>
    <w:rsid w:val="00C70F74"/>
    <w:rsid w:val="00C70FE8"/>
    <w:rsid w:val="00C71412"/>
    <w:rsid w:val="00C71A51"/>
    <w:rsid w:val="00C71C7F"/>
    <w:rsid w:val="00C71FC3"/>
    <w:rsid w:val="00C7212A"/>
    <w:rsid w:val="00C72405"/>
    <w:rsid w:val="00C73332"/>
    <w:rsid w:val="00C73A89"/>
    <w:rsid w:val="00C73E43"/>
    <w:rsid w:val="00C744B4"/>
    <w:rsid w:val="00C74A95"/>
    <w:rsid w:val="00C758C8"/>
    <w:rsid w:val="00C75A92"/>
    <w:rsid w:val="00C75DFC"/>
    <w:rsid w:val="00C76CE5"/>
    <w:rsid w:val="00C7713E"/>
    <w:rsid w:val="00C774BF"/>
    <w:rsid w:val="00C774FB"/>
    <w:rsid w:val="00C779EC"/>
    <w:rsid w:val="00C802E0"/>
    <w:rsid w:val="00C807EE"/>
    <w:rsid w:val="00C808D3"/>
    <w:rsid w:val="00C80BFD"/>
    <w:rsid w:val="00C81441"/>
    <w:rsid w:val="00C814F9"/>
    <w:rsid w:val="00C819C5"/>
    <w:rsid w:val="00C82BFF"/>
    <w:rsid w:val="00C8402F"/>
    <w:rsid w:val="00C8483D"/>
    <w:rsid w:val="00C8534C"/>
    <w:rsid w:val="00C85637"/>
    <w:rsid w:val="00C85CF9"/>
    <w:rsid w:val="00C85E85"/>
    <w:rsid w:val="00C86A42"/>
    <w:rsid w:val="00C8719D"/>
    <w:rsid w:val="00C871FB"/>
    <w:rsid w:val="00C879C6"/>
    <w:rsid w:val="00C87C7F"/>
    <w:rsid w:val="00C87D04"/>
    <w:rsid w:val="00C913DE"/>
    <w:rsid w:val="00C914D6"/>
    <w:rsid w:val="00C91C55"/>
    <w:rsid w:val="00C928AA"/>
    <w:rsid w:val="00C93635"/>
    <w:rsid w:val="00C93D34"/>
    <w:rsid w:val="00C940C9"/>
    <w:rsid w:val="00C941B7"/>
    <w:rsid w:val="00C94876"/>
    <w:rsid w:val="00C94E20"/>
    <w:rsid w:val="00C95486"/>
    <w:rsid w:val="00C95686"/>
    <w:rsid w:val="00C95BF8"/>
    <w:rsid w:val="00C960C7"/>
    <w:rsid w:val="00C96B4B"/>
    <w:rsid w:val="00C971C9"/>
    <w:rsid w:val="00C972A1"/>
    <w:rsid w:val="00C9732A"/>
    <w:rsid w:val="00C9768F"/>
    <w:rsid w:val="00C97C1C"/>
    <w:rsid w:val="00CA00FB"/>
    <w:rsid w:val="00CA025C"/>
    <w:rsid w:val="00CA0F5E"/>
    <w:rsid w:val="00CA1884"/>
    <w:rsid w:val="00CA19D3"/>
    <w:rsid w:val="00CA20D7"/>
    <w:rsid w:val="00CA2EA9"/>
    <w:rsid w:val="00CA4512"/>
    <w:rsid w:val="00CA45E0"/>
    <w:rsid w:val="00CA4E63"/>
    <w:rsid w:val="00CA51D5"/>
    <w:rsid w:val="00CA5396"/>
    <w:rsid w:val="00CA5C15"/>
    <w:rsid w:val="00CA661C"/>
    <w:rsid w:val="00CA74C7"/>
    <w:rsid w:val="00CA75E4"/>
    <w:rsid w:val="00CA7709"/>
    <w:rsid w:val="00CA7880"/>
    <w:rsid w:val="00CA7BBD"/>
    <w:rsid w:val="00CB0273"/>
    <w:rsid w:val="00CB05F5"/>
    <w:rsid w:val="00CB0B84"/>
    <w:rsid w:val="00CB10F9"/>
    <w:rsid w:val="00CB1694"/>
    <w:rsid w:val="00CB1793"/>
    <w:rsid w:val="00CB1B2F"/>
    <w:rsid w:val="00CB2FE9"/>
    <w:rsid w:val="00CB33CA"/>
    <w:rsid w:val="00CB407B"/>
    <w:rsid w:val="00CB44B7"/>
    <w:rsid w:val="00CB450F"/>
    <w:rsid w:val="00CB62D0"/>
    <w:rsid w:val="00CB6EF0"/>
    <w:rsid w:val="00CB6F76"/>
    <w:rsid w:val="00CB747C"/>
    <w:rsid w:val="00CB7A54"/>
    <w:rsid w:val="00CB7D31"/>
    <w:rsid w:val="00CC0A9C"/>
    <w:rsid w:val="00CC1645"/>
    <w:rsid w:val="00CC1A77"/>
    <w:rsid w:val="00CC1F96"/>
    <w:rsid w:val="00CC258D"/>
    <w:rsid w:val="00CC2FE1"/>
    <w:rsid w:val="00CC3AB5"/>
    <w:rsid w:val="00CC413C"/>
    <w:rsid w:val="00CC4B43"/>
    <w:rsid w:val="00CC5773"/>
    <w:rsid w:val="00CC58EB"/>
    <w:rsid w:val="00CC5D6F"/>
    <w:rsid w:val="00CC6619"/>
    <w:rsid w:val="00CC6DF1"/>
    <w:rsid w:val="00CC7CB8"/>
    <w:rsid w:val="00CC7DA8"/>
    <w:rsid w:val="00CC7DE7"/>
    <w:rsid w:val="00CD01B3"/>
    <w:rsid w:val="00CD08A9"/>
    <w:rsid w:val="00CD0C8B"/>
    <w:rsid w:val="00CD0FEA"/>
    <w:rsid w:val="00CD16EA"/>
    <w:rsid w:val="00CD19E4"/>
    <w:rsid w:val="00CD2027"/>
    <w:rsid w:val="00CD2831"/>
    <w:rsid w:val="00CD2DA6"/>
    <w:rsid w:val="00CD33A1"/>
    <w:rsid w:val="00CD38BB"/>
    <w:rsid w:val="00CD4228"/>
    <w:rsid w:val="00CD4488"/>
    <w:rsid w:val="00CD519A"/>
    <w:rsid w:val="00CD5830"/>
    <w:rsid w:val="00CD586B"/>
    <w:rsid w:val="00CD5AE8"/>
    <w:rsid w:val="00CD5F72"/>
    <w:rsid w:val="00CD63A4"/>
    <w:rsid w:val="00CD6A34"/>
    <w:rsid w:val="00CD793A"/>
    <w:rsid w:val="00CE026E"/>
    <w:rsid w:val="00CE0C3E"/>
    <w:rsid w:val="00CE120F"/>
    <w:rsid w:val="00CE1211"/>
    <w:rsid w:val="00CE14B3"/>
    <w:rsid w:val="00CE17D2"/>
    <w:rsid w:val="00CE226E"/>
    <w:rsid w:val="00CE3E44"/>
    <w:rsid w:val="00CE3F0E"/>
    <w:rsid w:val="00CE40EF"/>
    <w:rsid w:val="00CE458D"/>
    <w:rsid w:val="00CE473E"/>
    <w:rsid w:val="00CE4D2D"/>
    <w:rsid w:val="00CE5428"/>
    <w:rsid w:val="00CE5F42"/>
    <w:rsid w:val="00CE6286"/>
    <w:rsid w:val="00CE6881"/>
    <w:rsid w:val="00CE6E1D"/>
    <w:rsid w:val="00CE6F08"/>
    <w:rsid w:val="00CE76EB"/>
    <w:rsid w:val="00CF0033"/>
    <w:rsid w:val="00CF08A9"/>
    <w:rsid w:val="00CF09C3"/>
    <w:rsid w:val="00CF0F3C"/>
    <w:rsid w:val="00CF2329"/>
    <w:rsid w:val="00CF253E"/>
    <w:rsid w:val="00CF257B"/>
    <w:rsid w:val="00CF2A40"/>
    <w:rsid w:val="00CF2A4A"/>
    <w:rsid w:val="00CF2DB0"/>
    <w:rsid w:val="00CF2E43"/>
    <w:rsid w:val="00CF465E"/>
    <w:rsid w:val="00CF4694"/>
    <w:rsid w:val="00CF4B98"/>
    <w:rsid w:val="00CF5442"/>
    <w:rsid w:val="00CF5491"/>
    <w:rsid w:val="00CF5F91"/>
    <w:rsid w:val="00CF6467"/>
    <w:rsid w:val="00CF68BB"/>
    <w:rsid w:val="00CF6CFB"/>
    <w:rsid w:val="00CF6ED9"/>
    <w:rsid w:val="00CF7BE1"/>
    <w:rsid w:val="00CF7EE5"/>
    <w:rsid w:val="00D00293"/>
    <w:rsid w:val="00D005D9"/>
    <w:rsid w:val="00D020B8"/>
    <w:rsid w:val="00D023A6"/>
    <w:rsid w:val="00D02650"/>
    <w:rsid w:val="00D026D2"/>
    <w:rsid w:val="00D027BE"/>
    <w:rsid w:val="00D0293E"/>
    <w:rsid w:val="00D0293F"/>
    <w:rsid w:val="00D0328D"/>
    <w:rsid w:val="00D033B4"/>
    <w:rsid w:val="00D0341D"/>
    <w:rsid w:val="00D03FE0"/>
    <w:rsid w:val="00D03FEE"/>
    <w:rsid w:val="00D0427E"/>
    <w:rsid w:val="00D042C2"/>
    <w:rsid w:val="00D042E8"/>
    <w:rsid w:val="00D047D7"/>
    <w:rsid w:val="00D04A1B"/>
    <w:rsid w:val="00D04B2B"/>
    <w:rsid w:val="00D04FDA"/>
    <w:rsid w:val="00D052D2"/>
    <w:rsid w:val="00D0566F"/>
    <w:rsid w:val="00D05AAD"/>
    <w:rsid w:val="00D06368"/>
    <w:rsid w:val="00D06BF9"/>
    <w:rsid w:val="00D06CB9"/>
    <w:rsid w:val="00D077D9"/>
    <w:rsid w:val="00D1065D"/>
    <w:rsid w:val="00D106C6"/>
    <w:rsid w:val="00D11EBE"/>
    <w:rsid w:val="00D12753"/>
    <w:rsid w:val="00D12E3E"/>
    <w:rsid w:val="00D13422"/>
    <w:rsid w:val="00D138DA"/>
    <w:rsid w:val="00D139B2"/>
    <w:rsid w:val="00D13AC1"/>
    <w:rsid w:val="00D15035"/>
    <w:rsid w:val="00D169D5"/>
    <w:rsid w:val="00D2064B"/>
    <w:rsid w:val="00D20AAB"/>
    <w:rsid w:val="00D21736"/>
    <w:rsid w:val="00D2179F"/>
    <w:rsid w:val="00D21914"/>
    <w:rsid w:val="00D21F15"/>
    <w:rsid w:val="00D23149"/>
    <w:rsid w:val="00D24141"/>
    <w:rsid w:val="00D2556D"/>
    <w:rsid w:val="00D26AE2"/>
    <w:rsid w:val="00D26B80"/>
    <w:rsid w:val="00D275F3"/>
    <w:rsid w:val="00D30291"/>
    <w:rsid w:val="00D30327"/>
    <w:rsid w:val="00D30BB1"/>
    <w:rsid w:val="00D30F2A"/>
    <w:rsid w:val="00D31048"/>
    <w:rsid w:val="00D3171F"/>
    <w:rsid w:val="00D31981"/>
    <w:rsid w:val="00D31D9E"/>
    <w:rsid w:val="00D32911"/>
    <w:rsid w:val="00D32BE6"/>
    <w:rsid w:val="00D33503"/>
    <w:rsid w:val="00D336EE"/>
    <w:rsid w:val="00D33C9F"/>
    <w:rsid w:val="00D34380"/>
    <w:rsid w:val="00D34AD7"/>
    <w:rsid w:val="00D34FF2"/>
    <w:rsid w:val="00D35135"/>
    <w:rsid w:val="00D35E0D"/>
    <w:rsid w:val="00D3645C"/>
    <w:rsid w:val="00D36B68"/>
    <w:rsid w:val="00D36E4F"/>
    <w:rsid w:val="00D37680"/>
    <w:rsid w:val="00D37F89"/>
    <w:rsid w:val="00D400C9"/>
    <w:rsid w:val="00D40267"/>
    <w:rsid w:val="00D40DC3"/>
    <w:rsid w:val="00D40E52"/>
    <w:rsid w:val="00D41143"/>
    <w:rsid w:val="00D41C90"/>
    <w:rsid w:val="00D42145"/>
    <w:rsid w:val="00D432A5"/>
    <w:rsid w:val="00D43564"/>
    <w:rsid w:val="00D4371B"/>
    <w:rsid w:val="00D43E18"/>
    <w:rsid w:val="00D443FA"/>
    <w:rsid w:val="00D44473"/>
    <w:rsid w:val="00D456CD"/>
    <w:rsid w:val="00D45CF4"/>
    <w:rsid w:val="00D45D16"/>
    <w:rsid w:val="00D45E05"/>
    <w:rsid w:val="00D46D04"/>
    <w:rsid w:val="00D46E64"/>
    <w:rsid w:val="00D472A3"/>
    <w:rsid w:val="00D50371"/>
    <w:rsid w:val="00D51305"/>
    <w:rsid w:val="00D5134B"/>
    <w:rsid w:val="00D519E9"/>
    <w:rsid w:val="00D5275F"/>
    <w:rsid w:val="00D53068"/>
    <w:rsid w:val="00D533B1"/>
    <w:rsid w:val="00D53569"/>
    <w:rsid w:val="00D556C6"/>
    <w:rsid w:val="00D55925"/>
    <w:rsid w:val="00D5634F"/>
    <w:rsid w:val="00D563FD"/>
    <w:rsid w:val="00D56BEB"/>
    <w:rsid w:val="00D56F1A"/>
    <w:rsid w:val="00D56F98"/>
    <w:rsid w:val="00D573FA"/>
    <w:rsid w:val="00D57789"/>
    <w:rsid w:val="00D57D50"/>
    <w:rsid w:val="00D60104"/>
    <w:rsid w:val="00D605BD"/>
    <w:rsid w:val="00D607A6"/>
    <w:rsid w:val="00D609F0"/>
    <w:rsid w:val="00D60BCC"/>
    <w:rsid w:val="00D61603"/>
    <w:rsid w:val="00D629D1"/>
    <w:rsid w:val="00D62CD1"/>
    <w:rsid w:val="00D62D85"/>
    <w:rsid w:val="00D63171"/>
    <w:rsid w:val="00D63C0E"/>
    <w:rsid w:val="00D648A1"/>
    <w:rsid w:val="00D64971"/>
    <w:rsid w:val="00D64ADC"/>
    <w:rsid w:val="00D65351"/>
    <w:rsid w:val="00D654A1"/>
    <w:rsid w:val="00D66827"/>
    <w:rsid w:val="00D66EDA"/>
    <w:rsid w:val="00D67372"/>
    <w:rsid w:val="00D6747E"/>
    <w:rsid w:val="00D67CFF"/>
    <w:rsid w:val="00D67E8C"/>
    <w:rsid w:val="00D67EFF"/>
    <w:rsid w:val="00D7101E"/>
    <w:rsid w:val="00D711FE"/>
    <w:rsid w:val="00D712EF"/>
    <w:rsid w:val="00D71F53"/>
    <w:rsid w:val="00D728DF"/>
    <w:rsid w:val="00D72D6C"/>
    <w:rsid w:val="00D73753"/>
    <w:rsid w:val="00D73B6C"/>
    <w:rsid w:val="00D74BBF"/>
    <w:rsid w:val="00D74BFF"/>
    <w:rsid w:val="00D74E8F"/>
    <w:rsid w:val="00D74E9A"/>
    <w:rsid w:val="00D75756"/>
    <w:rsid w:val="00D76A30"/>
    <w:rsid w:val="00D76D71"/>
    <w:rsid w:val="00D770DD"/>
    <w:rsid w:val="00D77320"/>
    <w:rsid w:val="00D801DF"/>
    <w:rsid w:val="00D80545"/>
    <w:rsid w:val="00D80AB4"/>
    <w:rsid w:val="00D80DC5"/>
    <w:rsid w:val="00D81D0E"/>
    <w:rsid w:val="00D829FB"/>
    <w:rsid w:val="00D82C13"/>
    <w:rsid w:val="00D82C6B"/>
    <w:rsid w:val="00D82CD9"/>
    <w:rsid w:val="00D8315F"/>
    <w:rsid w:val="00D845A2"/>
    <w:rsid w:val="00D84662"/>
    <w:rsid w:val="00D856C0"/>
    <w:rsid w:val="00D85F37"/>
    <w:rsid w:val="00D85F67"/>
    <w:rsid w:val="00D86455"/>
    <w:rsid w:val="00D86AC1"/>
    <w:rsid w:val="00D87251"/>
    <w:rsid w:val="00D8751F"/>
    <w:rsid w:val="00D87F66"/>
    <w:rsid w:val="00D87FE4"/>
    <w:rsid w:val="00D90ADB"/>
    <w:rsid w:val="00D91460"/>
    <w:rsid w:val="00D914DB"/>
    <w:rsid w:val="00D91C14"/>
    <w:rsid w:val="00D9267C"/>
    <w:rsid w:val="00D9324C"/>
    <w:rsid w:val="00D93D59"/>
    <w:rsid w:val="00D93EFF"/>
    <w:rsid w:val="00D93F72"/>
    <w:rsid w:val="00D9460D"/>
    <w:rsid w:val="00D956EF"/>
    <w:rsid w:val="00D96313"/>
    <w:rsid w:val="00D9676F"/>
    <w:rsid w:val="00D96A0F"/>
    <w:rsid w:val="00D96CB4"/>
    <w:rsid w:val="00DA0552"/>
    <w:rsid w:val="00DA0B8A"/>
    <w:rsid w:val="00DA11B2"/>
    <w:rsid w:val="00DA1BA7"/>
    <w:rsid w:val="00DA22DA"/>
    <w:rsid w:val="00DA2423"/>
    <w:rsid w:val="00DA2A96"/>
    <w:rsid w:val="00DA3080"/>
    <w:rsid w:val="00DA30A2"/>
    <w:rsid w:val="00DA3961"/>
    <w:rsid w:val="00DA436C"/>
    <w:rsid w:val="00DA5D0B"/>
    <w:rsid w:val="00DA5F76"/>
    <w:rsid w:val="00DA60A5"/>
    <w:rsid w:val="00DA60F5"/>
    <w:rsid w:val="00DB01EA"/>
    <w:rsid w:val="00DB03AE"/>
    <w:rsid w:val="00DB03F6"/>
    <w:rsid w:val="00DB08CB"/>
    <w:rsid w:val="00DB0FA3"/>
    <w:rsid w:val="00DB16C1"/>
    <w:rsid w:val="00DB1D88"/>
    <w:rsid w:val="00DB2595"/>
    <w:rsid w:val="00DB303F"/>
    <w:rsid w:val="00DB3635"/>
    <w:rsid w:val="00DB4006"/>
    <w:rsid w:val="00DB4B61"/>
    <w:rsid w:val="00DB55CE"/>
    <w:rsid w:val="00DB64F5"/>
    <w:rsid w:val="00DB6CAF"/>
    <w:rsid w:val="00DB729B"/>
    <w:rsid w:val="00DB72CE"/>
    <w:rsid w:val="00DB7400"/>
    <w:rsid w:val="00DB7EB1"/>
    <w:rsid w:val="00DC0347"/>
    <w:rsid w:val="00DC0ADA"/>
    <w:rsid w:val="00DC13C3"/>
    <w:rsid w:val="00DC1C03"/>
    <w:rsid w:val="00DC2212"/>
    <w:rsid w:val="00DC252D"/>
    <w:rsid w:val="00DC2595"/>
    <w:rsid w:val="00DC2823"/>
    <w:rsid w:val="00DC2DF4"/>
    <w:rsid w:val="00DC30E1"/>
    <w:rsid w:val="00DC31F2"/>
    <w:rsid w:val="00DC35F6"/>
    <w:rsid w:val="00DC3898"/>
    <w:rsid w:val="00DC4083"/>
    <w:rsid w:val="00DC48DF"/>
    <w:rsid w:val="00DC6572"/>
    <w:rsid w:val="00DC6E4A"/>
    <w:rsid w:val="00DC789A"/>
    <w:rsid w:val="00DC7912"/>
    <w:rsid w:val="00DD0D38"/>
    <w:rsid w:val="00DD0D67"/>
    <w:rsid w:val="00DD15E7"/>
    <w:rsid w:val="00DD16E2"/>
    <w:rsid w:val="00DD1C3A"/>
    <w:rsid w:val="00DD2514"/>
    <w:rsid w:val="00DD3364"/>
    <w:rsid w:val="00DD4038"/>
    <w:rsid w:val="00DD40B6"/>
    <w:rsid w:val="00DD46E2"/>
    <w:rsid w:val="00DD51F6"/>
    <w:rsid w:val="00DD595A"/>
    <w:rsid w:val="00DD685B"/>
    <w:rsid w:val="00DD6C94"/>
    <w:rsid w:val="00DD711F"/>
    <w:rsid w:val="00DD7703"/>
    <w:rsid w:val="00DE1CB1"/>
    <w:rsid w:val="00DE588F"/>
    <w:rsid w:val="00DE5E98"/>
    <w:rsid w:val="00DE63D0"/>
    <w:rsid w:val="00DE67D6"/>
    <w:rsid w:val="00DE67EC"/>
    <w:rsid w:val="00DE69D3"/>
    <w:rsid w:val="00DE6DF3"/>
    <w:rsid w:val="00DE77C6"/>
    <w:rsid w:val="00DF04D2"/>
    <w:rsid w:val="00DF0775"/>
    <w:rsid w:val="00DF083E"/>
    <w:rsid w:val="00DF0AD2"/>
    <w:rsid w:val="00DF13B9"/>
    <w:rsid w:val="00DF192E"/>
    <w:rsid w:val="00DF1FD5"/>
    <w:rsid w:val="00DF29F8"/>
    <w:rsid w:val="00DF3641"/>
    <w:rsid w:val="00DF366D"/>
    <w:rsid w:val="00DF37D4"/>
    <w:rsid w:val="00DF38AD"/>
    <w:rsid w:val="00DF3917"/>
    <w:rsid w:val="00DF3D97"/>
    <w:rsid w:val="00DF3F0D"/>
    <w:rsid w:val="00DF4271"/>
    <w:rsid w:val="00DF45B7"/>
    <w:rsid w:val="00DF4C0F"/>
    <w:rsid w:val="00DF61F5"/>
    <w:rsid w:val="00DF66C8"/>
    <w:rsid w:val="00DF6C17"/>
    <w:rsid w:val="00DF75EA"/>
    <w:rsid w:val="00DF785E"/>
    <w:rsid w:val="00DF7966"/>
    <w:rsid w:val="00DF7B53"/>
    <w:rsid w:val="00DF7F08"/>
    <w:rsid w:val="00E002A8"/>
    <w:rsid w:val="00E00F89"/>
    <w:rsid w:val="00E015E4"/>
    <w:rsid w:val="00E01F35"/>
    <w:rsid w:val="00E022E5"/>
    <w:rsid w:val="00E026D3"/>
    <w:rsid w:val="00E02A18"/>
    <w:rsid w:val="00E03BC7"/>
    <w:rsid w:val="00E04230"/>
    <w:rsid w:val="00E04D1A"/>
    <w:rsid w:val="00E051E0"/>
    <w:rsid w:val="00E05662"/>
    <w:rsid w:val="00E0571C"/>
    <w:rsid w:val="00E062CB"/>
    <w:rsid w:val="00E063FD"/>
    <w:rsid w:val="00E065B4"/>
    <w:rsid w:val="00E0674D"/>
    <w:rsid w:val="00E07183"/>
    <w:rsid w:val="00E071DA"/>
    <w:rsid w:val="00E07776"/>
    <w:rsid w:val="00E1026F"/>
    <w:rsid w:val="00E1047C"/>
    <w:rsid w:val="00E10812"/>
    <w:rsid w:val="00E11FFD"/>
    <w:rsid w:val="00E1228F"/>
    <w:rsid w:val="00E12A15"/>
    <w:rsid w:val="00E135D6"/>
    <w:rsid w:val="00E13807"/>
    <w:rsid w:val="00E13D11"/>
    <w:rsid w:val="00E14011"/>
    <w:rsid w:val="00E144AC"/>
    <w:rsid w:val="00E1539A"/>
    <w:rsid w:val="00E1592F"/>
    <w:rsid w:val="00E15C72"/>
    <w:rsid w:val="00E1606C"/>
    <w:rsid w:val="00E16ABA"/>
    <w:rsid w:val="00E20246"/>
    <w:rsid w:val="00E20C45"/>
    <w:rsid w:val="00E2103F"/>
    <w:rsid w:val="00E21C0D"/>
    <w:rsid w:val="00E223F5"/>
    <w:rsid w:val="00E224BF"/>
    <w:rsid w:val="00E22D70"/>
    <w:rsid w:val="00E23D60"/>
    <w:rsid w:val="00E23E5D"/>
    <w:rsid w:val="00E24D8A"/>
    <w:rsid w:val="00E24F54"/>
    <w:rsid w:val="00E25B4D"/>
    <w:rsid w:val="00E25BB7"/>
    <w:rsid w:val="00E261B9"/>
    <w:rsid w:val="00E27F3C"/>
    <w:rsid w:val="00E30488"/>
    <w:rsid w:val="00E30B31"/>
    <w:rsid w:val="00E32A87"/>
    <w:rsid w:val="00E3369A"/>
    <w:rsid w:val="00E338C8"/>
    <w:rsid w:val="00E349A4"/>
    <w:rsid w:val="00E3565C"/>
    <w:rsid w:val="00E3565D"/>
    <w:rsid w:val="00E35B26"/>
    <w:rsid w:val="00E35F79"/>
    <w:rsid w:val="00E36F91"/>
    <w:rsid w:val="00E37058"/>
    <w:rsid w:val="00E3706C"/>
    <w:rsid w:val="00E37635"/>
    <w:rsid w:val="00E37E6C"/>
    <w:rsid w:val="00E408E3"/>
    <w:rsid w:val="00E40B5B"/>
    <w:rsid w:val="00E419AE"/>
    <w:rsid w:val="00E41B74"/>
    <w:rsid w:val="00E41E7E"/>
    <w:rsid w:val="00E4268B"/>
    <w:rsid w:val="00E426DF"/>
    <w:rsid w:val="00E42B80"/>
    <w:rsid w:val="00E434DF"/>
    <w:rsid w:val="00E437C3"/>
    <w:rsid w:val="00E439D0"/>
    <w:rsid w:val="00E44055"/>
    <w:rsid w:val="00E449C2"/>
    <w:rsid w:val="00E44BE3"/>
    <w:rsid w:val="00E44ED4"/>
    <w:rsid w:val="00E4511B"/>
    <w:rsid w:val="00E45D71"/>
    <w:rsid w:val="00E45E18"/>
    <w:rsid w:val="00E46DC7"/>
    <w:rsid w:val="00E47164"/>
    <w:rsid w:val="00E47789"/>
    <w:rsid w:val="00E47B32"/>
    <w:rsid w:val="00E509B9"/>
    <w:rsid w:val="00E5153C"/>
    <w:rsid w:val="00E5191C"/>
    <w:rsid w:val="00E51D90"/>
    <w:rsid w:val="00E530B3"/>
    <w:rsid w:val="00E531F6"/>
    <w:rsid w:val="00E53746"/>
    <w:rsid w:val="00E53B79"/>
    <w:rsid w:val="00E55B2B"/>
    <w:rsid w:val="00E55DFF"/>
    <w:rsid w:val="00E560B2"/>
    <w:rsid w:val="00E56AC0"/>
    <w:rsid w:val="00E56B77"/>
    <w:rsid w:val="00E57273"/>
    <w:rsid w:val="00E60CD8"/>
    <w:rsid w:val="00E60D1A"/>
    <w:rsid w:val="00E60EA0"/>
    <w:rsid w:val="00E6149B"/>
    <w:rsid w:val="00E61515"/>
    <w:rsid w:val="00E622A8"/>
    <w:rsid w:val="00E62927"/>
    <w:rsid w:val="00E62DC6"/>
    <w:rsid w:val="00E637B9"/>
    <w:rsid w:val="00E638B3"/>
    <w:rsid w:val="00E6484D"/>
    <w:rsid w:val="00E6509F"/>
    <w:rsid w:val="00E66062"/>
    <w:rsid w:val="00E6619D"/>
    <w:rsid w:val="00E662A0"/>
    <w:rsid w:val="00E666A6"/>
    <w:rsid w:val="00E6684C"/>
    <w:rsid w:val="00E668C9"/>
    <w:rsid w:val="00E67841"/>
    <w:rsid w:val="00E67FD8"/>
    <w:rsid w:val="00E7069F"/>
    <w:rsid w:val="00E70EF9"/>
    <w:rsid w:val="00E71CE6"/>
    <w:rsid w:val="00E72BFE"/>
    <w:rsid w:val="00E7413E"/>
    <w:rsid w:val="00E74797"/>
    <w:rsid w:val="00E74812"/>
    <w:rsid w:val="00E74B4E"/>
    <w:rsid w:val="00E74E4C"/>
    <w:rsid w:val="00E74F22"/>
    <w:rsid w:val="00E76D59"/>
    <w:rsid w:val="00E76DC9"/>
    <w:rsid w:val="00E771C7"/>
    <w:rsid w:val="00E775CE"/>
    <w:rsid w:val="00E77D3B"/>
    <w:rsid w:val="00E803E8"/>
    <w:rsid w:val="00E80A39"/>
    <w:rsid w:val="00E81AE7"/>
    <w:rsid w:val="00E81C52"/>
    <w:rsid w:val="00E82574"/>
    <w:rsid w:val="00E82DA4"/>
    <w:rsid w:val="00E850CB"/>
    <w:rsid w:val="00E857B8"/>
    <w:rsid w:val="00E857CA"/>
    <w:rsid w:val="00E85E41"/>
    <w:rsid w:val="00E86143"/>
    <w:rsid w:val="00E8628F"/>
    <w:rsid w:val="00E867B0"/>
    <w:rsid w:val="00E8711A"/>
    <w:rsid w:val="00E8736B"/>
    <w:rsid w:val="00E87723"/>
    <w:rsid w:val="00E87731"/>
    <w:rsid w:val="00E903B8"/>
    <w:rsid w:val="00E904FD"/>
    <w:rsid w:val="00E914AE"/>
    <w:rsid w:val="00E92A47"/>
    <w:rsid w:val="00E92ABD"/>
    <w:rsid w:val="00E92C6C"/>
    <w:rsid w:val="00E9374F"/>
    <w:rsid w:val="00E9376F"/>
    <w:rsid w:val="00E93982"/>
    <w:rsid w:val="00E93F0E"/>
    <w:rsid w:val="00E95001"/>
    <w:rsid w:val="00E95549"/>
    <w:rsid w:val="00E95C8E"/>
    <w:rsid w:val="00E95D30"/>
    <w:rsid w:val="00E95FB3"/>
    <w:rsid w:val="00E95FDF"/>
    <w:rsid w:val="00E9626E"/>
    <w:rsid w:val="00E964E7"/>
    <w:rsid w:val="00E96825"/>
    <w:rsid w:val="00E969FB"/>
    <w:rsid w:val="00E96A96"/>
    <w:rsid w:val="00E96B9E"/>
    <w:rsid w:val="00E977BC"/>
    <w:rsid w:val="00E9799F"/>
    <w:rsid w:val="00E97AF9"/>
    <w:rsid w:val="00E97E73"/>
    <w:rsid w:val="00EA066A"/>
    <w:rsid w:val="00EA0C7F"/>
    <w:rsid w:val="00EA0DAD"/>
    <w:rsid w:val="00EA1680"/>
    <w:rsid w:val="00EA183B"/>
    <w:rsid w:val="00EA2393"/>
    <w:rsid w:val="00EA2EEA"/>
    <w:rsid w:val="00EA434B"/>
    <w:rsid w:val="00EA4941"/>
    <w:rsid w:val="00EA4D30"/>
    <w:rsid w:val="00EA500C"/>
    <w:rsid w:val="00EA58FA"/>
    <w:rsid w:val="00EA5EF9"/>
    <w:rsid w:val="00EA69BF"/>
    <w:rsid w:val="00EA6C58"/>
    <w:rsid w:val="00EA7048"/>
    <w:rsid w:val="00EA7395"/>
    <w:rsid w:val="00EA7A42"/>
    <w:rsid w:val="00EA7B4E"/>
    <w:rsid w:val="00EB00B9"/>
    <w:rsid w:val="00EB04DA"/>
    <w:rsid w:val="00EB0AC1"/>
    <w:rsid w:val="00EB14CF"/>
    <w:rsid w:val="00EB229C"/>
    <w:rsid w:val="00EB2481"/>
    <w:rsid w:val="00EB271B"/>
    <w:rsid w:val="00EB2832"/>
    <w:rsid w:val="00EB29E1"/>
    <w:rsid w:val="00EB37D4"/>
    <w:rsid w:val="00EB4ACF"/>
    <w:rsid w:val="00EB614D"/>
    <w:rsid w:val="00EB625F"/>
    <w:rsid w:val="00EB6482"/>
    <w:rsid w:val="00EB6614"/>
    <w:rsid w:val="00EB7794"/>
    <w:rsid w:val="00EB7E0B"/>
    <w:rsid w:val="00EB7E6D"/>
    <w:rsid w:val="00EC0184"/>
    <w:rsid w:val="00EC0243"/>
    <w:rsid w:val="00EC0D5D"/>
    <w:rsid w:val="00EC1506"/>
    <w:rsid w:val="00EC170B"/>
    <w:rsid w:val="00EC1C2C"/>
    <w:rsid w:val="00EC1E41"/>
    <w:rsid w:val="00EC2F83"/>
    <w:rsid w:val="00EC3215"/>
    <w:rsid w:val="00EC323A"/>
    <w:rsid w:val="00EC3438"/>
    <w:rsid w:val="00EC34F3"/>
    <w:rsid w:val="00EC43FB"/>
    <w:rsid w:val="00EC6760"/>
    <w:rsid w:val="00EC686B"/>
    <w:rsid w:val="00EC699C"/>
    <w:rsid w:val="00EC6CB8"/>
    <w:rsid w:val="00EC6EDD"/>
    <w:rsid w:val="00EC706B"/>
    <w:rsid w:val="00EC712E"/>
    <w:rsid w:val="00EC7384"/>
    <w:rsid w:val="00EC7473"/>
    <w:rsid w:val="00EC754B"/>
    <w:rsid w:val="00ED0702"/>
    <w:rsid w:val="00ED0998"/>
    <w:rsid w:val="00ED0E87"/>
    <w:rsid w:val="00ED1382"/>
    <w:rsid w:val="00ED1CD0"/>
    <w:rsid w:val="00ED2504"/>
    <w:rsid w:val="00ED2A18"/>
    <w:rsid w:val="00ED311E"/>
    <w:rsid w:val="00ED3561"/>
    <w:rsid w:val="00ED5091"/>
    <w:rsid w:val="00ED51C6"/>
    <w:rsid w:val="00ED51E1"/>
    <w:rsid w:val="00ED550D"/>
    <w:rsid w:val="00ED5DDE"/>
    <w:rsid w:val="00ED62E3"/>
    <w:rsid w:val="00ED631F"/>
    <w:rsid w:val="00ED6839"/>
    <w:rsid w:val="00ED6A84"/>
    <w:rsid w:val="00ED6BF7"/>
    <w:rsid w:val="00ED724E"/>
    <w:rsid w:val="00ED7299"/>
    <w:rsid w:val="00EE0161"/>
    <w:rsid w:val="00EE1028"/>
    <w:rsid w:val="00EE1E29"/>
    <w:rsid w:val="00EE1F6F"/>
    <w:rsid w:val="00EE202C"/>
    <w:rsid w:val="00EE21ED"/>
    <w:rsid w:val="00EE2260"/>
    <w:rsid w:val="00EE25F8"/>
    <w:rsid w:val="00EE2CD7"/>
    <w:rsid w:val="00EE3257"/>
    <w:rsid w:val="00EE3966"/>
    <w:rsid w:val="00EE3C33"/>
    <w:rsid w:val="00EE3E73"/>
    <w:rsid w:val="00EE404E"/>
    <w:rsid w:val="00EE4F4E"/>
    <w:rsid w:val="00EE54A6"/>
    <w:rsid w:val="00EE5A5B"/>
    <w:rsid w:val="00EE5FB3"/>
    <w:rsid w:val="00EE613D"/>
    <w:rsid w:val="00EE61F7"/>
    <w:rsid w:val="00EE6240"/>
    <w:rsid w:val="00EE694F"/>
    <w:rsid w:val="00EE7881"/>
    <w:rsid w:val="00EE78D6"/>
    <w:rsid w:val="00EE7967"/>
    <w:rsid w:val="00EF013D"/>
    <w:rsid w:val="00EF0E51"/>
    <w:rsid w:val="00EF0E5D"/>
    <w:rsid w:val="00EF1608"/>
    <w:rsid w:val="00EF1A22"/>
    <w:rsid w:val="00EF1C38"/>
    <w:rsid w:val="00EF3F84"/>
    <w:rsid w:val="00EF4219"/>
    <w:rsid w:val="00EF47D9"/>
    <w:rsid w:val="00EF634B"/>
    <w:rsid w:val="00EF75EA"/>
    <w:rsid w:val="00EF7E31"/>
    <w:rsid w:val="00F0009E"/>
    <w:rsid w:val="00F00771"/>
    <w:rsid w:val="00F010F1"/>
    <w:rsid w:val="00F01340"/>
    <w:rsid w:val="00F01A09"/>
    <w:rsid w:val="00F02504"/>
    <w:rsid w:val="00F02872"/>
    <w:rsid w:val="00F03044"/>
    <w:rsid w:val="00F03393"/>
    <w:rsid w:val="00F03FDA"/>
    <w:rsid w:val="00F04AC3"/>
    <w:rsid w:val="00F05B4C"/>
    <w:rsid w:val="00F05D30"/>
    <w:rsid w:val="00F0672B"/>
    <w:rsid w:val="00F074E2"/>
    <w:rsid w:val="00F0768C"/>
    <w:rsid w:val="00F102B2"/>
    <w:rsid w:val="00F109F5"/>
    <w:rsid w:val="00F11EEA"/>
    <w:rsid w:val="00F1254A"/>
    <w:rsid w:val="00F13545"/>
    <w:rsid w:val="00F13F6D"/>
    <w:rsid w:val="00F14F2A"/>
    <w:rsid w:val="00F15167"/>
    <w:rsid w:val="00F161FA"/>
    <w:rsid w:val="00F1654F"/>
    <w:rsid w:val="00F167BF"/>
    <w:rsid w:val="00F16C8E"/>
    <w:rsid w:val="00F16EF9"/>
    <w:rsid w:val="00F16F07"/>
    <w:rsid w:val="00F1719A"/>
    <w:rsid w:val="00F2038B"/>
    <w:rsid w:val="00F20DB6"/>
    <w:rsid w:val="00F20F65"/>
    <w:rsid w:val="00F20FC5"/>
    <w:rsid w:val="00F21343"/>
    <w:rsid w:val="00F2172B"/>
    <w:rsid w:val="00F21CF9"/>
    <w:rsid w:val="00F21DD0"/>
    <w:rsid w:val="00F22AF2"/>
    <w:rsid w:val="00F22D51"/>
    <w:rsid w:val="00F2306B"/>
    <w:rsid w:val="00F2338B"/>
    <w:rsid w:val="00F2362D"/>
    <w:rsid w:val="00F23EB0"/>
    <w:rsid w:val="00F24808"/>
    <w:rsid w:val="00F24EAE"/>
    <w:rsid w:val="00F2543C"/>
    <w:rsid w:val="00F25B8B"/>
    <w:rsid w:val="00F27094"/>
    <w:rsid w:val="00F27299"/>
    <w:rsid w:val="00F2756F"/>
    <w:rsid w:val="00F275DF"/>
    <w:rsid w:val="00F276AE"/>
    <w:rsid w:val="00F278E3"/>
    <w:rsid w:val="00F27A6B"/>
    <w:rsid w:val="00F27D67"/>
    <w:rsid w:val="00F3065F"/>
    <w:rsid w:val="00F30699"/>
    <w:rsid w:val="00F3092B"/>
    <w:rsid w:val="00F31ACE"/>
    <w:rsid w:val="00F31B62"/>
    <w:rsid w:val="00F31FA6"/>
    <w:rsid w:val="00F32BE4"/>
    <w:rsid w:val="00F32C7E"/>
    <w:rsid w:val="00F32E03"/>
    <w:rsid w:val="00F331EE"/>
    <w:rsid w:val="00F33698"/>
    <w:rsid w:val="00F33B83"/>
    <w:rsid w:val="00F33CFD"/>
    <w:rsid w:val="00F33F31"/>
    <w:rsid w:val="00F3400E"/>
    <w:rsid w:val="00F34EFF"/>
    <w:rsid w:val="00F35DCC"/>
    <w:rsid w:val="00F362DF"/>
    <w:rsid w:val="00F36A74"/>
    <w:rsid w:val="00F37053"/>
    <w:rsid w:val="00F372E2"/>
    <w:rsid w:val="00F3776E"/>
    <w:rsid w:val="00F37782"/>
    <w:rsid w:val="00F37947"/>
    <w:rsid w:val="00F40A86"/>
    <w:rsid w:val="00F40ED6"/>
    <w:rsid w:val="00F4114A"/>
    <w:rsid w:val="00F411CD"/>
    <w:rsid w:val="00F417EF"/>
    <w:rsid w:val="00F4188F"/>
    <w:rsid w:val="00F41CE4"/>
    <w:rsid w:val="00F41E1C"/>
    <w:rsid w:val="00F41E95"/>
    <w:rsid w:val="00F41ECF"/>
    <w:rsid w:val="00F4212D"/>
    <w:rsid w:val="00F4226F"/>
    <w:rsid w:val="00F42337"/>
    <w:rsid w:val="00F426E2"/>
    <w:rsid w:val="00F428C0"/>
    <w:rsid w:val="00F42A57"/>
    <w:rsid w:val="00F42FB7"/>
    <w:rsid w:val="00F43634"/>
    <w:rsid w:val="00F44151"/>
    <w:rsid w:val="00F443CA"/>
    <w:rsid w:val="00F4478C"/>
    <w:rsid w:val="00F447C8"/>
    <w:rsid w:val="00F44E6B"/>
    <w:rsid w:val="00F453ED"/>
    <w:rsid w:val="00F45ABF"/>
    <w:rsid w:val="00F45B05"/>
    <w:rsid w:val="00F46332"/>
    <w:rsid w:val="00F463EE"/>
    <w:rsid w:val="00F47072"/>
    <w:rsid w:val="00F477B9"/>
    <w:rsid w:val="00F50283"/>
    <w:rsid w:val="00F50637"/>
    <w:rsid w:val="00F506B3"/>
    <w:rsid w:val="00F509C3"/>
    <w:rsid w:val="00F50E1A"/>
    <w:rsid w:val="00F51531"/>
    <w:rsid w:val="00F521FD"/>
    <w:rsid w:val="00F52558"/>
    <w:rsid w:val="00F52691"/>
    <w:rsid w:val="00F53135"/>
    <w:rsid w:val="00F53EBA"/>
    <w:rsid w:val="00F53F2D"/>
    <w:rsid w:val="00F542C1"/>
    <w:rsid w:val="00F54D6D"/>
    <w:rsid w:val="00F555F0"/>
    <w:rsid w:val="00F5565E"/>
    <w:rsid w:val="00F56279"/>
    <w:rsid w:val="00F56336"/>
    <w:rsid w:val="00F563D6"/>
    <w:rsid w:val="00F5677D"/>
    <w:rsid w:val="00F57717"/>
    <w:rsid w:val="00F608B9"/>
    <w:rsid w:val="00F60A2D"/>
    <w:rsid w:val="00F60E13"/>
    <w:rsid w:val="00F60EB2"/>
    <w:rsid w:val="00F610AD"/>
    <w:rsid w:val="00F615DC"/>
    <w:rsid w:val="00F61A8C"/>
    <w:rsid w:val="00F62099"/>
    <w:rsid w:val="00F6214C"/>
    <w:rsid w:val="00F62477"/>
    <w:rsid w:val="00F625EC"/>
    <w:rsid w:val="00F6291C"/>
    <w:rsid w:val="00F6345A"/>
    <w:rsid w:val="00F63464"/>
    <w:rsid w:val="00F637BB"/>
    <w:rsid w:val="00F64C09"/>
    <w:rsid w:val="00F6507E"/>
    <w:rsid w:val="00F650A5"/>
    <w:rsid w:val="00F651EC"/>
    <w:rsid w:val="00F656DB"/>
    <w:rsid w:val="00F658CC"/>
    <w:rsid w:val="00F6615B"/>
    <w:rsid w:val="00F66CB0"/>
    <w:rsid w:val="00F67775"/>
    <w:rsid w:val="00F679F2"/>
    <w:rsid w:val="00F67B0E"/>
    <w:rsid w:val="00F67E49"/>
    <w:rsid w:val="00F7088E"/>
    <w:rsid w:val="00F722A3"/>
    <w:rsid w:val="00F72EAA"/>
    <w:rsid w:val="00F7367E"/>
    <w:rsid w:val="00F741A7"/>
    <w:rsid w:val="00F742F8"/>
    <w:rsid w:val="00F748EA"/>
    <w:rsid w:val="00F74F7D"/>
    <w:rsid w:val="00F75095"/>
    <w:rsid w:val="00F75737"/>
    <w:rsid w:val="00F7741E"/>
    <w:rsid w:val="00F77ED9"/>
    <w:rsid w:val="00F80AEA"/>
    <w:rsid w:val="00F81D31"/>
    <w:rsid w:val="00F82763"/>
    <w:rsid w:val="00F82F24"/>
    <w:rsid w:val="00F8406A"/>
    <w:rsid w:val="00F84103"/>
    <w:rsid w:val="00F845C6"/>
    <w:rsid w:val="00F84A0B"/>
    <w:rsid w:val="00F84E22"/>
    <w:rsid w:val="00F84FCB"/>
    <w:rsid w:val="00F85F25"/>
    <w:rsid w:val="00F903BE"/>
    <w:rsid w:val="00F907A8"/>
    <w:rsid w:val="00F907E5"/>
    <w:rsid w:val="00F90CF2"/>
    <w:rsid w:val="00F910D2"/>
    <w:rsid w:val="00F91F0C"/>
    <w:rsid w:val="00F92250"/>
    <w:rsid w:val="00F928A8"/>
    <w:rsid w:val="00F92ADD"/>
    <w:rsid w:val="00F92C05"/>
    <w:rsid w:val="00F934FD"/>
    <w:rsid w:val="00F93CDA"/>
    <w:rsid w:val="00F94744"/>
    <w:rsid w:val="00F951A9"/>
    <w:rsid w:val="00F952E3"/>
    <w:rsid w:val="00F9554F"/>
    <w:rsid w:val="00F95E69"/>
    <w:rsid w:val="00F96D0D"/>
    <w:rsid w:val="00F96ECE"/>
    <w:rsid w:val="00F972E0"/>
    <w:rsid w:val="00F9757F"/>
    <w:rsid w:val="00F979C4"/>
    <w:rsid w:val="00FA0D03"/>
    <w:rsid w:val="00FA166F"/>
    <w:rsid w:val="00FA246F"/>
    <w:rsid w:val="00FA26D3"/>
    <w:rsid w:val="00FA2779"/>
    <w:rsid w:val="00FA2866"/>
    <w:rsid w:val="00FA2B05"/>
    <w:rsid w:val="00FA3BCB"/>
    <w:rsid w:val="00FA3DAE"/>
    <w:rsid w:val="00FA45D6"/>
    <w:rsid w:val="00FA4D9A"/>
    <w:rsid w:val="00FA5B63"/>
    <w:rsid w:val="00FA5C13"/>
    <w:rsid w:val="00FA6518"/>
    <w:rsid w:val="00FA718D"/>
    <w:rsid w:val="00FB064C"/>
    <w:rsid w:val="00FB278F"/>
    <w:rsid w:val="00FB3860"/>
    <w:rsid w:val="00FB458E"/>
    <w:rsid w:val="00FB4E26"/>
    <w:rsid w:val="00FB4F97"/>
    <w:rsid w:val="00FB5520"/>
    <w:rsid w:val="00FB581D"/>
    <w:rsid w:val="00FB5FA6"/>
    <w:rsid w:val="00FB6278"/>
    <w:rsid w:val="00FB6606"/>
    <w:rsid w:val="00FB691E"/>
    <w:rsid w:val="00FB6C43"/>
    <w:rsid w:val="00FB7491"/>
    <w:rsid w:val="00FB74EE"/>
    <w:rsid w:val="00FB7AE4"/>
    <w:rsid w:val="00FC0422"/>
    <w:rsid w:val="00FC10AB"/>
    <w:rsid w:val="00FC1C68"/>
    <w:rsid w:val="00FC1EC4"/>
    <w:rsid w:val="00FC1ECF"/>
    <w:rsid w:val="00FC2237"/>
    <w:rsid w:val="00FC2C44"/>
    <w:rsid w:val="00FC2CAA"/>
    <w:rsid w:val="00FC2D3D"/>
    <w:rsid w:val="00FC2F33"/>
    <w:rsid w:val="00FC3717"/>
    <w:rsid w:val="00FC39AA"/>
    <w:rsid w:val="00FC4480"/>
    <w:rsid w:val="00FC48E4"/>
    <w:rsid w:val="00FC51D0"/>
    <w:rsid w:val="00FC521F"/>
    <w:rsid w:val="00FC5490"/>
    <w:rsid w:val="00FC7830"/>
    <w:rsid w:val="00FC794E"/>
    <w:rsid w:val="00FD0472"/>
    <w:rsid w:val="00FD065E"/>
    <w:rsid w:val="00FD07C3"/>
    <w:rsid w:val="00FD0989"/>
    <w:rsid w:val="00FD0A83"/>
    <w:rsid w:val="00FD0CDD"/>
    <w:rsid w:val="00FD0D3E"/>
    <w:rsid w:val="00FD1691"/>
    <w:rsid w:val="00FD26E5"/>
    <w:rsid w:val="00FD2792"/>
    <w:rsid w:val="00FD336B"/>
    <w:rsid w:val="00FD4095"/>
    <w:rsid w:val="00FD43E0"/>
    <w:rsid w:val="00FD468D"/>
    <w:rsid w:val="00FD4BE0"/>
    <w:rsid w:val="00FD59A1"/>
    <w:rsid w:val="00FD64E1"/>
    <w:rsid w:val="00FD6A9B"/>
    <w:rsid w:val="00FD70C3"/>
    <w:rsid w:val="00FD7353"/>
    <w:rsid w:val="00FE0772"/>
    <w:rsid w:val="00FE07BB"/>
    <w:rsid w:val="00FE1BD8"/>
    <w:rsid w:val="00FE21CE"/>
    <w:rsid w:val="00FE2660"/>
    <w:rsid w:val="00FE2E29"/>
    <w:rsid w:val="00FE3921"/>
    <w:rsid w:val="00FE3A51"/>
    <w:rsid w:val="00FE3C08"/>
    <w:rsid w:val="00FE3E6A"/>
    <w:rsid w:val="00FE4165"/>
    <w:rsid w:val="00FE4299"/>
    <w:rsid w:val="00FE4F49"/>
    <w:rsid w:val="00FE5068"/>
    <w:rsid w:val="00FE60C9"/>
    <w:rsid w:val="00FE6A9C"/>
    <w:rsid w:val="00FE7079"/>
    <w:rsid w:val="00FE723F"/>
    <w:rsid w:val="00FE7374"/>
    <w:rsid w:val="00FE795F"/>
    <w:rsid w:val="00FE7A65"/>
    <w:rsid w:val="00FF1A6D"/>
    <w:rsid w:val="00FF36AF"/>
    <w:rsid w:val="00FF3A16"/>
    <w:rsid w:val="00FF3E53"/>
    <w:rsid w:val="00FF407A"/>
    <w:rsid w:val="00FF4E65"/>
    <w:rsid w:val="00FF5D58"/>
    <w:rsid w:val="00FF6B01"/>
    <w:rsid w:val="00FF6D58"/>
    <w:rsid w:val="00FF703B"/>
    <w:rsid w:val="00FF7085"/>
    <w:rsid w:val="00FF7444"/>
    <w:rsid w:val="00FF7630"/>
    <w:rsid w:val="00FF7646"/>
    <w:rsid w:val="00FF7A90"/>
    <w:rsid w:val="00FF7F9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0998"/>
    <w:pPr>
      <w:jc w:val="both"/>
    </w:pPr>
    <w:rPr>
      <w:rFonts w:ascii="ZapfCalligr BT" w:hAnsi="ZapfCalligr BT" w:cs="ZapfCalligr BT"/>
    </w:rPr>
  </w:style>
  <w:style w:type="paragraph" w:styleId="Heading1">
    <w:name w:val="heading 1"/>
    <w:basedOn w:val="Normal"/>
    <w:next w:val="Normal"/>
    <w:link w:val="Heading1Char"/>
    <w:uiPriority w:val="99"/>
    <w:qFormat/>
    <w:rsid w:val="00866ADF"/>
    <w:pPr>
      <w:keepNext/>
      <w:shd w:val="clear" w:color="auto" w:fill="3366FF"/>
      <w:outlineLvl w:val="0"/>
    </w:pPr>
    <w:rPr>
      <w:rFonts w:ascii="Arial" w:hAnsi="Arial" w:cs="Arial"/>
      <w:b/>
      <w:bCs/>
      <w:color w:val="FFCC00"/>
      <w:sz w:val="28"/>
      <w:szCs w:val="28"/>
      <w:lang w:eastAsia="en-US"/>
    </w:rPr>
  </w:style>
  <w:style w:type="paragraph" w:styleId="Heading2">
    <w:name w:val="heading 2"/>
    <w:basedOn w:val="Normal"/>
    <w:next w:val="Normal"/>
    <w:link w:val="Heading2Char"/>
    <w:uiPriority w:val="99"/>
    <w:qFormat/>
    <w:rsid w:val="00866ADF"/>
    <w:pPr>
      <w:keepNext/>
      <w:shd w:val="clear" w:color="auto" w:fill="99CCFF"/>
      <w:outlineLvl w:val="1"/>
    </w:pPr>
    <w:rPr>
      <w:rFonts w:ascii="Arial" w:hAnsi="Arial" w:cs="Arial"/>
      <w:b/>
      <w:bCs/>
      <w:sz w:val="24"/>
      <w:szCs w:val="24"/>
      <w:lang w:eastAsia="en-US"/>
    </w:rPr>
  </w:style>
  <w:style w:type="paragraph" w:styleId="Heading3">
    <w:name w:val="heading 3"/>
    <w:basedOn w:val="Normal"/>
    <w:next w:val="Normal"/>
    <w:link w:val="Heading3Char"/>
    <w:uiPriority w:val="99"/>
    <w:qFormat/>
    <w:rsid w:val="00866ADF"/>
    <w:pPr>
      <w:keepNext/>
      <w:tabs>
        <w:tab w:val="left" w:pos="1560"/>
        <w:tab w:val="left" w:pos="2410"/>
        <w:tab w:val="decimal" w:leader="dot" w:pos="8732"/>
      </w:tabs>
      <w:jc w:val="center"/>
      <w:outlineLvl w:val="2"/>
    </w:pPr>
    <w:rPr>
      <w:b/>
      <w:bCs/>
      <w:sz w:val="28"/>
      <w:szCs w:val="28"/>
      <w:u w:val="single"/>
      <w:lang w:eastAsia="en-US"/>
    </w:rPr>
  </w:style>
  <w:style w:type="paragraph" w:styleId="Heading4">
    <w:name w:val="heading 4"/>
    <w:basedOn w:val="Normal"/>
    <w:next w:val="Normal"/>
    <w:link w:val="Heading4Char"/>
    <w:uiPriority w:val="99"/>
    <w:qFormat/>
    <w:rsid w:val="00866ADF"/>
    <w:pPr>
      <w:keepNext/>
      <w:tabs>
        <w:tab w:val="left" w:pos="1560"/>
        <w:tab w:val="left" w:pos="2410"/>
        <w:tab w:val="decimal" w:leader="dot" w:pos="8732"/>
      </w:tabs>
      <w:jc w:val="center"/>
      <w:outlineLvl w:val="3"/>
    </w:pPr>
    <w:rPr>
      <w:b/>
      <w:bCs/>
      <w:sz w:val="26"/>
      <w:szCs w:val="26"/>
      <w:u w:val="single"/>
      <w:lang w:eastAsia="en-US"/>
    </w:rPr>
  </w:style>
  <w:style w:type="paragraph" w:styleId="Heading5">
    <w:name w:val="heading 5"/>
    <w:basedOn w:val="Normal"/>
    <w:next w:val="Normal"/>
    <w:link w:val="Heading5Char"/>
    <w:uiPriority w:val="99"/>
    <w:qFormat/>
    <w:rsid w:val="00866ADF"/>
    <w:pPr>
      <w:keepNext/>
      <w:tabs>
        <w:tab w:val="left" w:pos="1560"/>
        <w:tab w:val="left" w:pos="2410"/>
        <w:tab w:val="decimal" w:leader="dot" w:pos="8732"/>
      </w:tabs>
      <w:outlineLvl w:val="4"/>
    </w:pPr>
    <w:rPr>
      <w:b/>
      <w:bCs/>
      <w:sz w:val="28"/>
      <w:szCs w:val="28"/>
      <w:u w:val="single"/>
      <w:lang w:eastAsia="en-US"/>
    </w:rPr>
  </w:style>
  <w:style w:type="paragraph" w:styleId="Heading6">
    <w:name w:val="heading 6"/>
    <w:basedOn w:val="Normal"/>
    <w:next w:val="Normal"/>
    <w:link w:val="Heading6Char"/>
    <w:uiPriority w:val="99"/>
    <w:qFormat/>
    <w:rsid w:val="00866ADF"/>
    <w:pPr>
      <w:spacing w:before="240" w:after="60"/>
      <w:outlineLvl w:val="5"/>
    </w:pPr>
    <w:rPr>
      <w:rFonts w:ascii="Arial" w:hAnsi="Arial" w:cs="Arial"/>
      <w:b/>
      <w:bCs/>
    </w:rPr>
  </w:style>
  <w:style w:type="paragraph" w:styleId="Heading7">
    <w:name w:val="heading 7"/>
    <w:basedOn w:val="Normal"/>
    <w:next w:val="Normal"/>
    <w:link w:val="Heading7Char"/>
    <w:uiPriority w:val="99"/>
    <w:qFormat/>
    <w:rsid w:val="00866ADF"/>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uiPriority w:val="99"/>
    <w:qFormat/>
    <w:rsid w:val="00866ADF"/>
    <w:pPr>
      <w:keepNext/>
      <w:outlineLvl w:val="7"/>
    </w:pPr>
    <w:rPr>
      <w:sz w:val="26"/>
      <w:szCs w:val="26"/>
      <w:u w:val="single"/>
      <w:lang w:eastAsia="en-US"/>
    </w:rPr>
  </w:style>
  <w:style w:type="paragraph" w:styleId="Heading9">
    <w:name w:val="heading 9"/>
    <w:basedOn w:val="Normal"/>
    <w:next w:val="Normal"/>
    <w:link w:val="Heading9Char"/>
    <w:uiPriority w:val="99"/>
    <w:qFormat/>
    <w:rsid w:val="00866ADF"/>
    <w:pPr>
      <w:keepNext/>
      <w:outlineLvl w:val="8"/>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2A1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12A1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E12A15"/>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E12A15"/>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E12A15"/>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E12A15"/>
    <w:rPr>
      <w:rFonts w:ascii="Calibri" w:hAnsi="Calibri" w:cs="Calibri"/>
      <w:b/>
      <w:bCs/>
    </w:rPr>
  </w:style>
  <w:style w:type="character" w:customStyle="1" w:styleId="Heading7Char">
    <w:name w:val="Heading 7 Char"/>
    <w:basedOn w:val="DefaultParagraphFont"/>
    <w:link w:val="Heading7"/>
    <w:uiPriority w:val="99"/>
    <w:semiHidden/>
    <w:locked/>
    <w:rsid w:val="00E12A15"/>
    <w:rPr>
      <w:rFonts w:ascii="Calibri" w:hAnsi="Calibri" w:cs="Calibri"/>
      <w:sz w:val="24"/>
      <w:szCs w:val="24"/>
    </w:rPr>
  </w:style>
  <w:style w:type="character" w:customStyle="1" w:styleId="Heading8Char">
    <w:name w:val="Heading 8 Char"/>
    <w:basedOn w:val="DefaultParagraphFont"/>
    <w:link w:val="Heading8"/>
    <w:uiPriority w:val="99"/>
    <w:semiHidden/>
    <w:locked/>
    <w:rsid w:val="00E12A15"/>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E12A15"/>
    <w:rPr>
      <w:rFonts w:ascii="Cambria" w:hAnsi="Cambria" w:cs="Cambria"/>
    </w:rPr>
  </w:style>
  <w:style w:type="table" w:styleId="TableGrid">
    <w:name w:val="Table Grid"/>
    <w:basedOn w:val="TableNormal"/>
    <w:uiPriority w:val="99"/>
    <w:rsid w:val="00ED0998"/>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D0998"/>
    <w:rPr>
      <w:rFonts w:cs="Times New Roman"/>
      <w:color w:val="0000FF"/>
      <w:u w:val="single"/>
    </w:rPr>
  </w:style>
  <w:style w:type="paragraph" w:styleId="Footer">
    <w:name w:val="footer"/>
    <w:basedOn w:val="Normal"/>
    <w:link w:val="FooterChar"/>
    <w:uiPriority w:val="99"/>
    <w:rsid w:val="00ED0998"/>
    <w:pPr>
      <w:tabs>
        <w:tab w:val="center" w:pos="4153"/>
        <w:tab w:val="right" w:pos="8306"/>
      </w:tabs>
    </w:pPr>
  </w:style>
  <w:style w:type="character" w:customStyle="1" w:styleId="FooterChar">
    <w:name w:val="Footer Char"/>
    <w:basedOn w:val="DefaultParagraphFont"/>
    <w:link w:val="Footer"/>
    <w:uiPriority w:val="99"/>
    <w:semiHidden/>
    <w:locked/>
    <w:rsid w:val="00E12A15"/>
    <w:rPr>
      <w:rFonts w:ascii="ZapfCalligr BT" w:hAnsi="ZapfCalligr BT" w:cs="ZapfCalligr BT"/>
      <w:sz w:val="20"/>
      <w:szCs w:val="20"/>
    </w:rPr>
  </w:style>
  <w:style w:type="character" w:styleId="PageNumber">
    <w:name w:val="page number"/>
    <w:basedOn w:val="DefaultParagraphFont"/>
    <w:uiPriority w:val="99"/>
    <w:rsid w:val="00ED0998"/>
    <w:rPr>
      <w:rFonts w:cs="Times New Roman"/>
    </w:rPr>
  </w:style>
  <w:style w:type="paragraph" w:styleId="Header">
    <w:name w:val="header"/>
    <w:basedOn w:val="Normal"/>
    <w:link w:val="HeaderChar"/>
    <w:uiPriority w:val="99"/>
    <w:rsid w:val="00ED0998"/>
    <w:pPr>
      <w:tabs>
        <w:tab w:val="center" w:pos="4153"/>
        <w:tab w:val="right" w:pos="8306"/>
      </w:tabs>
    </w:pPr>
  </w:style>
  <w:style w:type="character" w:customStyle="1" w:styleId="HeaderChar">
    <w:name w:val="Header Char"/>
    <w:basedOn w:val="DefaultParagraphFont"/>
    <w:link w:val="Header"/>
    <w:uiPriority w:val="99"/>
    <w:semiHidden/>
    <w:locked/>
    <w:rsid w:val="00E12A15"/>
    <w:rPr>
      <w:rFonts w:ascii="ZapfCalligr BT" w:hAnsi="ZapfCalligr BT" w:cs="ZapfCalligr BT"/>
      <w:sz w:val="20"/>
      <w:szCs w:val="20"/>
    </w:rPr>
  </w:style>
  <w:style w:type="paragraph" w:styleId="BalloonText">
    <w:name w:val="Balloon Text"/>
    <w:basedOn w:val="Normal"/>
    <w:link w:val="BalloonTextChar"/>
    <w:uiPriority w:val="99"/>
    <w:semiHidden/>
    <w:rsid w:val="00672D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A15"/>
    <w:rPr>
      <w:rFonts w:cs="Times New Roman"/>
      <w:sz w:val="2"/>
      <w:szCs w:val="2"/>
    </w:rPr>
  </w:style>
  <w:style w:type="paragraph" w:styleId="BodyText">
    <w:name w:val="Body Text"/>
    <w:basedOn w:val="Normal"/>
    <w:link w:val="BodyTextChar"/>
    <w:uiPriority w:val="99"/>
    <w:rsid w:val="00866ADF"/>
    <w:rPr>
      <w:sz w:val="28"/>
      <w:szCs w:val="28"/>
      <w:lang w:eastAsia="en-US"/>
    </w:rPr>
  </w:style>
  <w:style w:type="character" w:customStyle="1" w:styleId="BodyTextChar">
    <w:name w:val="Body Text Char"/>
    <w:basedOn w:val="DefaultParagraphFont"/>
    <w:link w:val="BodyText"/>
    <w:uiPriority w:val="99"/>
    <w:semiHidden/>
    <w:locked/>
    <w:rsid w:val="00E12A15"/>
    <w:rPr>
      <w:rFonts w:ascii="ZapfCalligr BT" w:hAnsi="ZapfCalligr BT" w:cs="ZapfCalligr BT"/>
      <w:sz w:val="20"/>
      <w:szCs w:val="20"/>
    </w:rPr>
  </w:style>
  <w:style w:type="paragraph" w:styleId="BodyTextIndent2">
    <w:name w:val="Body Text Indent 2"/>
    <w:basedOn w:val="Normal"/>
    <w:link w:val="BodyTextIndent2Char"/>
    <w:uiPriority w:val="99"/>
    <w:rsid w:val="00866ADF"/>
    <w:pPr>
      <w:spacing w:after="120" w:line="480" w:lineRule="auto"/>
      <w:ind w:left="283"/>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E12A15"/>
    <w:rPr>
      <w:rFonts w:ascii="ZapfCalligr BT" w:hAnsi="ZapfCalligr BT" w:cs="ZapfCalligr BT"/>
      <w:sz w:val="20"/>
      <w:szCs w:val="20"/>
    </w:rPr>
  </w:style>
  <w:style w:type="paragraph" w:styleId="BodyText2">
    <w:name w:val="Body Text 2"/>
    <w:basedOn w:val="Normal"/>
    <w:link w:val="BodyText2Char"/>
    <w:uiPriority w:val="99"/>
    <w:rsid w:val="00866ADF"/>
    <w:pPr>
      <w:spacing w:after="120" w:line="480" w:lineRule="auto"/>
    </w:pPr>
    <w:rPr>
      <w:rFonts w:ascii="Arial" w:hAnsi="Arial" w:cs="Arial"/>
      <w:sz w:val="24"/>
      <w:szCs w:val="24"/>
    </w:rPr>
  </w:style>
  <w:style w:type="character" w:customStyle="1" w:styleId="BodyText2Char">
    <w:name w:val="Body Text 2 Char"/>
    <w:basedOn w:val="DefaultParagraphFont"/>
    <w:link w:val="BodyText2"/>
    <w:uiPriority w:val="99"/>
    <w:semiHidden/>
    <w:locked/>
    <w:rsid w:val="00E12A15"/>
    <w:rPr>
      <w:rFonts w:ascii="ZapfCalligr BT" w:hAnsi="ZapfCalligr BT" w:cs="ZapfCalligr BT"/>
      <w:sz w:val="20"/>
      <w:szCs w:val="20"/>
    </w:rPr>
  </w:style>
  <w:style w:type="paragraph" w:styleId="BodyText3">
    <w:name w:val="Body Text 3"/>
    <w:basedOn w:val="Normal"/>
    <w:link w:val="BodyText3Char"/>
    <w:uiPriority w:val="99"/>
    <w:rsid w:val="00866ADF"/>
    <w:pPr>
      <w:spacing w:after="120"/>
    </w:pPr>
    <w:rPr>
      <w:rFonts w:ascii="Arial" w:hAnsi="Arial" w:cs="Arial"/>
      <w:sz w:val="16"/>
      <w:szCs w:val="16"/>
    </w:rPr>
  </w:style>
  <w:style w:type="character" w:customStyle="1" w:styleId="BodyText3Char">
    <w:name w:val="Body Text 3 Char"/>
    <w:basedOn w:val="DefaultParagraphFont"/>
    <w:link w:val="BodyText3"/>
    <w:uiPriority w:val="99"/>
    <w:semiHidden/>
    <w:locked/>
    <w:rsid w:val="00E12A15"/>
    <w:rPr>
      <w:rFonts w:ascii="ZapfCalligr BT" w:hAnsi="ZapfCalligr BT" w:cs="ZapfCalligr BT"/>
      <w:sz w:val="16"/>
      <w:szCs w:val="16"/>
    </w:rPr>
  </w:style>
  <w:style w:type="character" w:styleId="FollowedHyperlink">
    <w:name w:val="FollowedHyperlink"/>
    <w:basedOn w:val="DefaultParagraphFont"/>
    <w:uiPriority w:val="99"/>
    <w:rsid w:val="00866ADF"/>
    <w:rPr>
      <w:rFonts w:cs="Times New Roman"/>
      <w:color w:val="800080"/>
      <w:u w:val="single"/>
    </w:rPr>
  </w:style>
  <w:style w:type="paragraph" w:styleId="BodyTextIndent">
    <w:name w:val="Body Text Indent"/>
    <w:basedOn w:val="Normal"/>
    <w:link w:val="BodyTextIndentChar"/>
    <w:uiPriority w:val="99"/>
    <w:rsid w:val="00866ADF"/>
    <w:pPr>
      <w:tabs>
        <w:tab w:val="left" w:pos="567"/>
        <w:tab w:val="decimal" w:pos="4537"/>
        <w:tab w:val="left" w:pos="5245"/>
        <w:tab w:val="left" w:pos="6804"/>
      </w:tabs>
      <w:ind w:left="540" w:hanging="540"/>
    </w:pPr>
    <w:rPr>
      <w:sz w:val="24"/>
      <w:szCs w:val="24"/>
      <w:lang w:eastAsia="en-US"/>
    </w:rPr>
  </w:style>
  <w:style w:type="character" w:customStyle="1" w:styleId="BodyTextIndentChar">
    <w:name w:val="Body Text Indent Char"/>
    <w:basedOn w:val="DefaultParagraphFont"/>
    <w:link w:val="BodyTextIndent"/>
    <w:uiPriority w:val="99"/>
    <w:semiHidden/>
    <w:locked/>
    <w:rsid w:val="00E12A15"/>
    <w:rPr>
      <w:rFonts w:ascii="ZapfCalligr BT" w:hAnsi="ZapfCalligr BT" w:cs="ZapfCalligr BT"/>
      <w:sz w:val="20"/>
      <w:szCs w:val="20"/>
    </w:rPr>
  </w:style>
  <w:style w:type="paragraph" w:styleId="BodyTextIndent3">
    <w:name w:val="Body Text Indent 3"/>
    <w:basedOn w:val="Normal"/>
    <w:link w:val="BodyTextIndent3Char"/>
    <w:uiPriority w:val="99"/>
    <w:rsid w:val="00866ADF"/>
    <w:pPr>
      <w:ind w:left="180" w:hanging="180"/>
    </w:pPr>
    <w:rPr>
      <w:sz w:val="26"/>
      <w:szCs w:val="26"/>
      <w:lang w:eastAsia="en-US"/>
    </w:rPr>
  </w:style>
  <w:style w:type="character" w:customStyle="1" w:styleId="BodyTextIndent3Char">
    <w:name w:val="Body Text Indent 3 Char"/>
    <w:basedOn w:val="DefaultParagraphFont"/>
    <w:link w:val="BodyTextIndent3"/>
    <w:uiPriority w:val="99"/>
    <w:semiHidden/>
    <w:locked/>
    <w:rsid w:val="00E12A15"/>
    <w:rPr>
      <w:rFonts w:ascii="ZapfCalligr BT" w:hAnsi="ZapfCalligr BT" w:cs="ZapfCalligr BT"/>
      <w:sz w:val="16"/>
      <w:szCs w:val="16"/>
    </w:rPr>
  </w:style>
  <w:style w:type="paragraph" w:styleId="NoSpacing">
    <w:name w:val="No Spacing"/>
    <w:uiPriority w:val="99"/>
    <w:qFormat/>
    <w:rsid w:val="008A2104"/>
    <w:rPr>
      <w:rFonts w:ascii="Calibri" w:hAnsi="Calibri" w:cs="Calibri"/>
      <w:lang w:eastAsia="en-US"/>
    </w:rPr>
  </w:style>
  <w:style w:type="paragraph" w:styleId="PlainText">
    <w:name w:val="Plain Text"/>
    <w:basedOn w:val="Normal"/>
    <w:link w:val="PlainTextChar"/>
    <w:uiPriority w:val="99"/>
    <w:rsid w:val="00647960"/>
    <w:pPr>
      <w:jc w:val="left"/>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E12A15"/>
    <w:rPr>
      <w:rFonts w:ascii="Courier New" w:hAnsi="Courier New" w:cs="Courier New"/>
      <w:sz w:val="20"/>
      <w:szCs w:val="20"/>
    </w:rPr>
  </w:style>
  <w:style w:type="character" w:customStyle="1" w:styleId="n66611listyle">
    <w:name w:val="n66611 listyle"/>
    <w:basedOn w:val="DefaultParagraphFont"/>
    <w:uiPriority w:val="99"/>
    <w:rsid w:val="00523F9C"/>
    <w:rPr>
      <w:rFonts w:cs="Times New Roman"/>
    </w:rPr>
  </w:style>
  <w:style w:type="paragraph" w:styleId="NormalWeb">
    <w:name w:val="Normal (Web)"/>
    <w:basedOn w:val="Normal"/>
    <w:uiPriority w:val="99"/>
    <w:rsid w:val="008C0BC2"/>
    <w:pPr>
      <w:spacing w:before="100" w:beforeAutospacing="1" w:after="100" w:afterAutospacing="1"/>
      <w:jc w:val="left"/>
    </w:pPr>
    <w:rPr>
      <w:rFonts w:ascii="Times New Roman" w:hAnsi="Times New Roman" w:cs="Times New Roman"/>
      <w:sz w:val="24"/>
      <w:szCs w:val="24"/>
    </w:rPr>
  </w:style>
  <w:style w:type="paragraph" w:customStyle="1" w:styleId="Default">
    <w:name w:val="Default"/>
    <w:uiPriority w:val="99"/>
    <w:rsid w:val="00E92C6C"/>
    <w:pPr>
      <w:autoSpaceDE w:val="0"/>
      <w:autoSpaceDN w:val="0"/>
      <w:adjustRightInd w:val="0"/>
    </w:pPr>
    <w:rPr>
      <w:rFonts w:ascii="Avenir 35" w:hAnsi="Avenir 35" w:cs="Avenir 35"/>
      <w:color w:val="000000"/>
      <w:sz w:val="24"/>
      <w:szCs w:val="24"/>
    </w:rPr>
  </w:style>
  <w:style w:type="character" w:customStyle="1" w:styleId="EmailStyle52">
    <w:name w:val="EmailStyle521"/>
    <w:aliases w:val="EmailStyle521"/>
    <w:basedOn w:val="DefaultParagraphFont"/>
    <w:uiPriority w:val="99"/>
    <w:semiHidden/>
    <w:personal/>
    <w:rsid w:val="000D21AF"/>
    <w:rPr>
      <w:rFonts w:ascii="Arial" w:hAnsi="Arial" w:cs="Arial"/>
      <w:color w:val="auto"/>
      <w:sz w:val="20"/>
      <w:szCs w:val="20"/>
    </w:rPr>
  </w:style>
  <w:style w:type="paragraph" w:styleId="Revision">
    <w:name w:val="Revision"/>
    <w:hidden/>
    <w:uiPriority w:val="99"/>
    <w:semiHidden/>
    <w:rsid w:val="003B0D78"/>
    <w:rPr>
      <w:rFonts w:ascii="ZapfCalligr BT" w:hAnsi="ZapfCalligr BT" w:cs="ZapfCalligr BT"/>
    </w:rPr>
  </w:style>
  <w:style w:type="paragraph" w:customStyle="1" w:styleId="smalltext">
    <w:name w:val="smalltext"/>
    <w:basedOn w:val="Normal"/>
    <w:uiPriority w:val="99"/>
    <w:rsid w:val="008D399A"/>
    <w:pPr>
      <w:spacing w:before="100" w:beforeAutospacing="1" w:after="100" w:afterAutospacing="1"/>
      <w:jc w:val="left"/>
    </w:pPr>
    <w:rPr>
      <w:rFonts w:ascii="Times New Roman" w:hAnsi="Times New Roman" w:cs="Times New Roman"/>
      <w:sz w:val="24"/>
      <w:szCs w:val="24"/>
    </w:rPr>
  </w:style>
  <w:style w:type="character" w:styleId="Emphasis">
    <w:name w:val="Emphasis"/>
    <w:basedOn w:val="DefaultParagraphFont"/>
    <w:uiPriority w:val="99"/>
    <w:qFormat/>
    <w:rsid w:val="008D399A"/>
    <w:rPr>
      <w:rFonts w:cs="Times New Roman"/>
      <w:i/>
      <w:iCs/>
    </w:rPr>
  </w:style>
  <w:style w:type="paragraph" w:styleId="ListParagraph">
    <w:name w:val="List Paragraph"/>
    <w:basedOn w:val="Normal"/>
    <w:uiPriority w:val="99"/>
    <w:qFormat/>
    <w:rsid w:val="00D027BE"/>
    <w:pPr>
      <w:ind w:left="720"/>
    </w:pPr>
  </w:style>
</w:styles>
</file>

<file path=word/webSettings.xml><?xml version="1.0" encoding="utf-8"?>
<w:webSettings xmlns:r="http://schemas.openxmlformats.org/officeDocument/2006/relationships" xmlns:w="http://schemas.openxmlformats.org/wordprocessingml/2006/main">
  <w:divs>
    <w:div w:id="381099004">
      <w:marLeft w:val="0"/>
      <w:marRight w:val="0"/>
      <w:marTop w:val="0"/>
      <w:marBottom w:val="0"/>
      <w:divBdr>
        <w:top w:val="none" w:sz="0" w:space="0" w:color="auto"/>
        <w:left w:val="none" w:sz="0" w:space="0" w:color="auto"/>
        <w:bottom w:val="none" w:sz="0" w:space="0" w:color="auto"/>
        <w:right w:val="none" w:sz="0" w:space="0" w:color="auto"/>
      </w:divBdr>
    </w:div>
    <w:div w:id="381099005">
      <w:marLeft w:val="0"/>
      <w:marRight w:val="0"/>
      <w:marTop w:val="0"/>
      <w:marBottom w:val="0"/>
      <w:divBdr>
        <w:top w:val="none" w:sz="0" w:space="0" w:color="auto"/>
        <w:left w:val="none" w:sz="0" w:space="0" w:color="auto"/>
        <w:bottom w:val="none" w:sz="0" w:space="0" w:color="auto"/>
        <w:right w:val="none" w:sz="0" w:space="0" w:color="auto"/>
      </w:divBdr>
    </w:div>
    <w:div w:id="381099006">
      <w:marLeft w:val="0"/>
      <w:marRight w:val="0"/>
      <w:marTop w:val="0"/>
      <w:marBottom w:val="0"/>
      <w:divBdr>
        <w:top w:val="none" w:sz="0" w:space="0" w:color="auto"/>
        <w:left w:val="none" w:sz="0" w:space="0" w:color="auto"/>
        <w:bottom w:val="none" w:sz="0" w:space="0" w:color="auto"/>
        <w:right w:val="none" w:sz="0" w:space="0" w:color="auto"/>
      </w:divBdr>
    </w:div>
    <w:div w:id="381099009">
      <w:marLeft w:val="0"/>
      <w:marRight w:val="0"/>
      <w:marTop w:val="0"/>
      <w:marBottom w:val="0"/>
      <w:divBdr>
        <w:top w:val="none" w:sz="0" w:space="0" w:color="auto"/>
        <w:left w:val="none" w:sz="0" w:space="0" w:color="auto"/>
        <w:bottom w:val="none" w:sz="0" w:space="0" w:color="auto"/>
        <w:right w:val="none" w:sz="0" w:space="0" w:color="auto"/>
      </w:divBdr>
    </w:div>
    <w:div w:id="381099010">
      <w:marLeft w:val="0"/>
      <w:marRight w:val="0"/>
      <w:marTop w:val="0"/>
      <w:marBottom w:val="0"/>
      <w:divBdr>
        <w:top w:val="none" w:sz="0" w:space="0" w:color="auto"/>
        <w:left w:val="none" w:sz="0" w:space="0" w:color="auto"/>
        <w:bottom w:val="none" w:sz="0" w:space="0" w:color="auto"/>
        <w:right w:val="none" w:sz="0" w:space="0" w:color="auto"/>
      </w:divBdr>
    </w:div>
    <w:div w:id="381099011">
      <w:marLeft w:val="0"/>
      <w:marRight w:val="0"/>
      <w:marTop w:val="0"/>
      <w:marBottom w:val="0"/>
      <w:divBdr>
        <w:top w:val="none" w:sz="0" w:space="0" w:color="auto"/>
        <w:left w:val="none" w:sz="0" w:space="0" w:color="auto"/>
        <w:bottom w:val="none" w:sz="0" w:space="0" w:color="auto"/>
        <w:right w:val="none" w:sz="0" w:space="0" w:color="auto"/>
      </w:divBdr>
    </w:div>
    <w:div w:id="381099012">
      <w:marLeft w:val="0"/>
      <w:marRight w:val="0"/>
      <w:marTop w:val="0"/>
      <w:marBottom w:val="0"/>
      <w:divBdr>
        <w:top w:val="none" w:sz="0" w:space="0" w:color="auto"/>
        <w:left w:val="none" w:sz="0" w:space="0" w:color="auto"/>
        <w:bottom w:val="none" w:sz="0" w:space="0" w:color="auto"/>
        <w:right w:val="none" w:sz="0" w:space="0" w:color="auto"/>
      </w:divBdr>
    </w:div>
    <w:div w:id="381099015">
      <w:marLeft w:val="0"/>
      <w:marRight w:val="0"/>
      <w:marTop w:val="0"/>
      <w:marBottom w:val="0"/>
      <w:divBdr>
        <w:top w:val="none" w:sz="0" w:space="0" w:color="auto"/>
        <w:left w:val="none" w:sz="0" w:space="0" w:color="auto"/>
        <w:bottom w:val="none" w:sz="0" w:space="0" w:color="auto"/>
        <w:right w:val="none" w:sz="0" w:space="0" w:color="auto"/>
      </w:divBdr>
    </w:div>
    <w:div w:id="381099016">
      <w:marLeft w:val="0"/>
      <w:marRight w:val="0"/>
      <w:marTop w:val="0"/>
      <w:marBottom w:val="0"/>
      <w:divBdr>
        <w:top w:val="none" w:sz="0" w:space="0" w:color="auto"/>
        <w:left w:val="none" w:sz="0" w:space="0" w:color="auto"/>
        <w:bottom w:val="none" w:sz="0" w:space="0" w:color="auto"/>
        <w:right w:val="none" w:sz="0" w:space="0" w:color="auto"/>
      </w:divBdr>
    </w:div>
    <w:div w:id="381099017">
      <w:marLeft w:val="0"/>
      <w:marRight w:val="0"/>
      <w:marTop w:val="0"/>
      <w:marBottom w:val="0"/>
      <w:divBdr>
        <w:top w:val="none" w:sz="0" w:space="0" w:color="auto"/>
        <w:left w:val="none" w:sz="0" w:space="0" w:color="auto"/>
        <w:bottom w:val="none" w:sz="0" w:space="0" w:color="auto"/>
        <w:right w:val="none" w:sz="0" w:space="0" w:color="auto"/>
      </w:divBdr>
    </w:div>
    <w:div w:id="381099019">
      <w:marLeft w:val="0"/>
      <w:marRight w:val="0"/>
      <w:marTop w:val="0"/>
      <w:marBottom w:val="0"/>
      <w:divBdr>
        <w:top w:val="none" w:sz="0" w:space="0" w:color="auto"/>
        <w:left w:val="none" w:sz="0" w:space="0" w:color="auto"/>
        <w:bottom w:val="none" w:sz="0" w:space="0" w:color="auto"/>
        <w:right w:val="none" w:sz="0" w:space="0" w:color="auto"/>
      </w:divBdr>
    </w:div>
    <w:div w:id="381099021">
      <w:marLeft w:val="0"/>
      <w:marRight w:val="0"/>
      <w:marTop w:val="0"/>
      <w:marBottom w:val="0"/>
      <w:divBdr>
        <w:top w:val="none" w:sz="0" w:space="0" w:color="auto"/>
        <w:left w:val="none" w:sz="0" w:space="0" w:color="auto"/>
        <w:bottom w:val="none" w:sz="0" w:space="0" w:color="auto"/>
        <w:right w:val="none" w:sz="0" w:space="0" w:color="auto"/>
      </w:divBdr>
      <w:divsChild>
        <w:div w:id="381099008">
          <w:marLeft w:val="547"/>
          <w:marRight w:val="0"/>
          <w:marTop w:val="0"/>
          <w:marBottom w:val="0"/>
          <w:divBdr>
            <w:top w:val="none" w:sz="0" w:space="0" w:color="auto"/>
            <w:left w:val="none" w:sz="0" w:space="0" w:color="auto"/>
            <w:bottom w:val="none" w:sz="0" w:space="0" w:color="auto"/>
            <w:right w:val="none" w:sz="0" w:space="0" w:color="auto"/>
          </w:divBdr>
        </w:div>
      </w:divsChild>
    </w:div>
    <w:div w:id="381099022">
      <w:marLeft w:val="0"/>
      <w:marRight w:val="0"/>
      <w:marTop w:val="0"/>
      <w:marBottom w:val="0"/>
      <w:divBdr>
        <w:top w:val="none" w:sz="0" w:space="0" w:color="auto"/>
        <w:left w:val="none" w:sz="0" w:space="0" w:color="auto"/>
        <w:bottom w:val="none" w:sz="0" w:space="0" w:color="auto"/>
        <w:right w:val="none" w:sz="0" w:space="0" w:color="auto"/>
      </w:divBdr>
    </w:div>
    <w:div w:id="381099023">
      <w:marLeft w:val="0"/>
      <w:marRight w:val="0"/>
      <w:marTop w:val="0"/>
      <w:marBottom w:val="0"/>
      <w:divBdr>
        <w:top w:val="none" w:sz="0" w:space="0" w:color="auto"/>
        <w:left w:val="none" w:sz="0" w:space="0" w:color="auto"/>
        <w:bottom w:val="none" w:sz="0" w:space="0" w:color="auto"/>
        <w:right w:val="none" w:sz="0" w:space="0" w:color="auto"/>
      </w:divBdr>
    </w:div>
    <w:div w:id="381099024">
      <w:marLeft w:val="0"/>
      <w:marRight w:val="0"/>
      <w:marTop w:val="0"/>
      <w:marBottom w:val="0"/>
      <w:divBdr>
        <w:top w:val="none" w:sz="0" w:space="0" w:color="auto"/>
        <w:left w:val="none" w:sz="0" w:space="0" w:color="auto"/>
        <w:bottom w:val="none" w:sz="0" w:space="0" w:color="auto"/>
        <w:right w:val="none" w:sz="0" w:space="0" w:color="auto"/>
      </w:divBdr>
    </w:div>
    <w:div w:id="381099026">
      <w:marLeft w:val="0"/>
      <w:marRight w:val="0"/>
      <w:marTop w:val="0"/>
      <w:marBottom w:val="0"/>
      <w:divBdr>
        <w:top w:val="none" w:sz="0" w:space="0" w:color="auto"/>
        <w:left w:val="none" w:sz="0" w:space="0" w:color="auto"/>
        <w:bottom w:val="none" w:sz="0" w:space="0" w:color="auto"/>
        <w:right w:val="none" w:sz="0" w:space="0" w:color="auto"/>
      </w:divBdr>
      <w:divsChild>
        <w:div w:id="381099034">
          <w:marLeft w:val="547"/>
          <w:marRight w:val="0"/>
          <w:marTop w:val="0"/>
          <w:marBottom w:val="0"/>
          <w:divBdr>
            <w:top w:val="none" w:sz="0" w:space="0" w:color="auto"/>
            <w:left w:val="none" w:sz="0" w:space="0" w:color="auto"/>
            <w:bottom w:val="none" w:sz="0" w:space="0" w:color="auto"/>
            <w:right w:val="none" w:sz="0" w:space="0" w:color="auto"/>
          </w:divBdr>
        </w:div>
      </w:divsChild>
    </w:div>
    <w:div w:id="381099028">
      <w:marLeft w:val="0"/>
      <w:marRight w:val="0"/>
      <w:marTop w:val="0"/>
      <w:marBottom w:val="0"/>
      <w:divBdr>
        <w:top w:val="none" w:sz="0" w:space="0" w:color="auto"/>
        <w:left w:val="none" w:sz="0" w:space="0" w:color="auto"/>
        <w:bottom w:val="none" w:sz="0" w:space="0" w:color="auto"/>
        <w:right w:val="none" w:sz="0" w:space="0" w:color="auto"/>
      </w:divBdr>
      <w:divsChild>
        <w:div w:id="381099014">
          <w:marLeft w:val="0"/>
          <w:marRight w:val="0"/>
          <w:marTop w:val="0"/>
          <w:marBottom w:val="0"/>
          <w:divBdr>
            <w:top w:val="none" w:sz="0" w:space="0" w:color="auto"/>
            <w:left w:val="none" w:sz="0" w:space="0" w:color="auto"/>
            <w:bottom w:val="none" w:sz="0" w:space="0" w:color="auto"/>
            <w:right w:val="none" w:sz="0" w:space="0" w:color="auto"/>
          </w:divBdr>
          <w:divsChild>
            <w:div w:id="381099025">
              <w:marLeft w:val="0"/>
              <w:marRight w:val="0"/>
              <w:marTop w:val="0"/>
              <w:marBottom w:val="0"/>
              <w:divBdr>
                <w:top w:val="none" w:sz="0" w:space="0" w:color="auto"/>
                <w:left w:val="none" w:sz="0" w:space="0" w:color="auto"/>
                <w:bottom w:val="none" w:sz="0" w:space="0" w:color="auto"/>
                <w:right w:val="none" w:sz="0" w:space="0" w:color="auto"/>
              </w:divBdr>
              <w:divsChild>
                <w:div w:id="381099020">
                  <w:marLeft w:val="0"/>
                  <w:marRight w:val="0"/>
                  <w:marTop w:val="0"/>
                  <w:marBottom w:val="0"/>
                  <w:divBdr>
                    <w:top w:val="none" w:sz="0" w:space="0" w:color="auto"/>
                    <w:left w:val="none" w:sz="0" w:space="0" w:color="auto"/>
                    <w:bottom w:val="none" w:sz="0" w:space="0" w:color="auto"/>
                    <w:right w:val="none" w:sz="0" w:space="0" w:color="auto"/>
                  </w:divBdr>
                  <w:divsChild>
                    <w:div w:id="381099013">
                      <w:marLeft w:val="0"/>
                      <w:marRight w:val="0"/>
                      <w:marTop w:val="0"/>
                      <w:marBottom w:val="0"/>
                      <w:divBdr>
                        <w:top w:val="none" w:sz="0" w:space="0" w:color="auto"/>
                        <w:left w:val="none" w:sz="0" w:space="0" w:color="auto"/>
                        <w:bottom w:val="none" w:sz="0" w:space="0" w:color="auto"/>
                        <w:right w:val="none" w:sz="0" w:space="0" w:color="auto"/>
                      </w:divBdr>
                      <w:divsChild>
                        <w:div w:id="381099027">
                          <w:marLeft w:val="0"/>
                          <w:marRight w:val="0"/>
                          <w:marTop w:val="0"/>
                          <w:marBottom w:val="0"/>
                          <w:divBdr>
                            <w:top w:val="none" w:sz="0" w:space="0" w:color="auto"/>
                            <w:left w:val="none" w:sz="0" w:space="0" w:color="auto"/>
                            <w:bottom w:val="none" w:sz="0" w:space="0" w:color="auto"/>
                            <w:right w:val="none" w:sz="0" w:space="0" w:color="auto"/>
                          </w:divBdr>
                          <w:divsChild>
                            <w:div w:id="3810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099029">
      <w:marLeft w:val="0"/>
      <w:marRight w:val="0"/>
      <w:marTop w:val="0"/>
      <w:marBottom w:val="0"/>
      <w:divBdr>
        <w:top w:val="none" w:sz="0" w:space="0" w:color="auto"/>
        <w:left w:val="none" w:sz="0" w:space="0" w:color="auto"/>
        <w:bottom w:val="none" w:sz="0" w:space="0" w:color="auto"/>
        <w:right w:val="none" w:sz="0" w:space="0" w:color="auto"/>
      </w:divBdr>
    </w:div>
    <w:div w:id="381099030">
      <w:marLeft w:val="0"/>
      <w:marRight w:val="0"/>
      <w:marTop w:val="0"/>
      <w:marBottom w:val="0"/>
      <w:divBdr>
        <w:top w:val="none" w:sz="0" w:space="0" w:color="auto"/>
        <w:left w:val="none" w:sz="0" w:space="0" w:color="auto"/>
        <w:bottom w:val="none" w:sz="0" w:space="0" w:color="auto"/>
        <w:right w:val="none" w:sz="0" w:space="0" w:color="auto"/>
      </w:divBdr>
    </w:div>
    <w:div w:id="381099031">
      <w:marLeft w:val="0"/>
      <w:marRight w:val="0"/>
      <w:marTop w:val="0"/>
      <w:marBottom w:val="0"/>
      <w:divBdr>
        <w:top w:val="none" w:sz="0" w:space="0" w:color="auto"/>
        <w:left w:val="none" w:sz="0" w:space="0" w:color="auto"/>
        <w:bottom w:val="none" w:sz="0" w:space="0" w:color="auto"/>
        <w:right w:val="none" w:sz="0" w:space="0" w:color="auto"/>
      </w:divBdr>
    </w:div>
    <w:div w:id="381099032">
      <w:marLeft w:val="0"/>
      <w:marRight w:val="0"/>
      <w:marTop w:val="0"/>
      <w:marBottom w:val="0"/>
      <w:divBdr>
        <w:top w:val="none" w:sz="0" w:space="0" w:color="auto"/>
        <w:left w:val="none" w:sz="0" w:space="0" w:color="auto"/>
        <w:bottom w:val="none" w:sz="0" w:space="0" w:color="auto"/>
        <w:right w:val="none" w:sz="0" w:space="0" w:color="auto"/>
      </w:divBdr>
    </w:div>
    <w:div w:id="381099035">
      <w:marLeft w:val="0"/>
      <w:marRight w:val="0"/>
      <w:marTop w:val="0"/>
      <w:marBottom w:val="0"/>
      <w:divBdr>
        <w:top w:val="none" w:sz="0" w:space="0" w:color="auto"/>
        <w:left w:val="none" w:sz="0" w:space="0" w:color="auto"/>
        <w:bottom w:val="none" w:sz="0" w:space="0" w:color="auto"/>
        <w:right w:val="none" w:sz="0" w:space="0" w:color="auto"/>
      </w:divBdr>
      <w:divsChild>
        <w:div w:id="381099007">
          <w:marLeft w:val="547"/>
          <w:marRight w:val="0"/>
          <w:marTop w:val="0"/>
          <w:marBottom w:val="0"/>
          <w:divBdr>
            <w:top w:val="none" w:sz="0" w:space="0" w:color="auto"/>
            <w:left w:val="none" w:sz="0" w:space="0" w:color="auto"/>
            <w:bottom w:val="none" w:sz="0" w:space="0" w:color="auto"/>
            <w:right w:val="none" w:sz="0" w:space="0" w:color="auto"/>
          </w:divBdr>
        </w:div>
      </w:divsChild>
    </w:div>
    <w:div w:id="381099036">
      <w:marLeft w:val="0"/>
      <w:marRight w:val="0"/>
      <w:marTop w:val="0"/>
      <w:marBottom w:val="0"/>
      <w:divBdr>
        <w:top w:val="none" w:sz="0" w:space="0" w:color="auto"/>
        <w:left w:val="none" w:sz="0" w:space="0" w:color="auto"/>
        <w:bottom w:val="none" w:sz="0" w:space="0" w:color="auto"/>
        <w:right w:val="none" w:sz="0" w:space="0" w:color="auto"/>
      </w:divBdr>
      <w:divsChild>
        <w:div w:id="381099033">
          <w:marLeft w:val="0"/>
          <w:marRight w:val="0"/>
          <w:marTop w:val="0"/>
          <w:marBottom w:val="0"/>
          <w:divBdr>
            <w:top w:val="none" w:sz="0" w:space="0" w:color="auto"/>
            <w:left w:val="none" w:sz="0" w:space="0" w:color="auto"/>
            <w:bottom w:val="none" w:sz="0" w:space="0" w:color="auto"/>
            <w:right w:val="none" w:sz="0" w:space="0" w:color="auto"/>
          </w:divBdr>
        </w:div>
      </w:divsChild>
    </w:div>
    <w:div w:id="381099037">
      <w:marLeft w:val="0"/>
      <w:marRight w:val="0"/>
      <w:marTop w:val="0"/>
      <w:marBottom w:val="0"/>
      <w:divBdr>
        <w:top w:val="none" w:sz="0" w:space="0" w:color="auto"/>
        <w:left w:val="none" w:sz="0" w:space="0" w:color="auto"/>
        <w:bottom w:val="none" w:sz="0" w:space="0" w:color="auto"/>
        <w:right w:val="none" w:sz="0" w:space="0" w:color="auto"/>
      </w:divBdr>
    </w:div>
    <w:div w:id="381099038">
      <w:marLeft w:val="0"/>
      <w:marRight w:val="0"/>
      <w:marTop w:val="0"/>
      <w:marBottom w:val="0"/>
      <w:divBdr>
        <w:top w:val="none" w:sz="0" w:space="0" w:color="auto"/>
        <w:left w:val="none" w:sz="0" w:space="0" w:color="auto"/>
        <w:bottom w:val="none" w:sz="0" w:space="0" w:color="auto"/>
        <w:right w:val="none" w:sz="0" w:space="0" w:color="auto"/>
      </w:divBdr>
    </w:div>
    <w:div w:id="381099039">
      <w:marLeft w:val="0"/>
      <w:marRight w:val="0"/>
      <w:marTop w:val="0"/>
      <w:marBottom w:val="0"/>
      <w:divBdr>
        <w:top w:val="none" w:sz="0" w:space="0" w:color="auto"/>
        <w:left w:val="none" w:sz="0" w:space="0" w:color="auto"/>
        <w:bottom w:val="none" w:sz="0" w:space="0" w:color="auto"/>
        <w:right w:val="none" w:sz="0" w:space="0" w:color="auto"/>
      </w:divBdr>
    </w:div>
    <w:div w:id="381099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ingfish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5674</Words>
  <Characters>32346</Characters>
  <Application>Microsoft Office Word</Application>
  <DocSecurity>0</DocSecurity>
  <Lines>269</Lines>
  <Paragraphs>75</Paragraphs>
  <ScaleCrop>false</ScaleCrop>
  <Company>Grizli777</Company>
  <LinksUpToDate>false</LinksUpToDate>
  <CharactersWithSpaces>37945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UNTIL 0700 HOURS</dc:title>
  <dc:subject/>
  <dc:creator>woodward</dc:creator>
  <cp:keywords/>
  <dc:description/>
  <cp:lastModifiedBy>pete</cp:lastModifiedBy>
  <cp:revision>11</cp:revision>
  <cp:lastPrinted>2011-09-14T18:55:00Z</cp:lastPrinted>
  <dcterms:created xsi:type="dcterms:W3CDTF">2011-09-14T18:35:00Z</dcterms:created>
  <dcterms:modified xsi:type="dcterms:W3CDTF">2011-09-14T19:17:00Z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507887978</vt:i4>
  </property>
</Properties>
</file>